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BC0" w:rsidRPr="00BE2846" w:rsidRDefault="00446DC7" w:rsidP="00446DC7">
      <w:pPr>
        <w:pStyle w:val="BodyText"/>
        <w:ind w:left="100"/>
        <w:jc w:val="center"/>
        <w:rPr>
          <w:rFonts w:ascii="Arial" w:hAnsi="Arial" w:cs="Arial"/>
          <w:b/>
          <w:sz w:val="24"/>
          <w:szCs w:val="24"/>
        </w:rPr>
      </w:pPr>
      <w:r>
        <w:rPr>
          <w:rFonts w:ascii="Arial" w:hAnsi="Arial" w:cs="Arial"/>
          <w:b/>
          <w:sz w:val="24"/>
          <w:szCs w:val="24"/>
        </w:rPr>
        <w:t>ABC Construction Backlog Indicator</w:t>
      </w:r>
    </w:p>
    <w:p w:rsidR="00D86BC0" w:rsidRPr="00BE2846" w:rsidRDefault="00D86BC0" w:rsidP="00D86BC0">
      <w:pPr>
        <w:pStyle w:val="BodyText"/>
        <w:ind w:left="100"/>
        <w:rPr>
          <w:rFonts w:ascii="Arial" w:hAnsi="Arial" w:cs="Arial"/>
          <w:b/>
          <w:sz w:val="24"/>
          <w:szCs w:val="24"/>
        </w:rPr>
      </w:pPr>
    </w:p>
    <w:p w:rsidR="00095F37" w:rsidRDefault="00095F37" w:rsidP="00D86BC0">
      <w:pPr>
        <w:pStyle w:val="BodyText"/>
        <w:ind w:left="100"/>
        <w:rPr>
          <w:rFonts w:ascii="Arial" w:hAnsi="Arial" w:cs="Arial"/>
          <w:b/>
          <w:sz w:val="24"/>
          <w:szCs w:val="24"/>
        </w:rPr>
      </w:pPr>
    </w:p>
    <w:p w:rsidR="00867B60" w:rsidRPr="00BE2846" w:rsidRDefault="00BC0273" w:rsidP="00D86BC0">
      <w:pPr>
        <w:pStyle w:val="BodyText"/>
        <w:ind w:left="100"/>
        <w:rPr>
          <w:rFonts w:ascii="Arial" w:hAnsi="Arial" w:cs="Arial"/>
          <w:b/>
          <w:sz w:val="24"/>
          <w:szCs w:val="24"/>
        </w:rPr>
      </w:pPr>
      <w:r w:rsidRPr="00BE2846">
        <w:rPr>
          <w:rFonts w:ascii="Arial" w:hAnsi="Arial" w:cs="Arial"/>
          <w:b/>
          <w:sz w:val="24"/>
          <w:szCs w:val="24"/>
        </w:rPr>
        <w:t>Definition and Methodology</w:t>
      </w:r>
    </w:p>
    <w:p w:rsidR="00867B60" w:rsidRPr="00BE2846" w:rsidRDefault="00867B60">
      <w:pPr>
        <w:pStyle w:val="BodyText"/>
        <w:spacing w:before="1"/>
        <w:rPr>
          <w:rFonts w:ascii="Arial" w:hAnsi="Arial" w:cs="Arial"/>
          <w:b/>
          <w:sz w:val="24"/>
          <w:szCs w:val="24"/>
        </w:rPr>
      </w:pPr>
    </w:p>
    <w:p w:rsidR="00867B60" w:rsidRPr="00BE2846" w:rsidRDefault="00BC0273">
      <w:pPr>
        <w:pStyle w:val="BodyText"/>
        <w:spacing w:line="264" w:lineRule="auto"/>
        <w:ind w:left="100" w:right="144"/>
        <w:rPr>
          <w:rFonts w:ascii="Arial" w:hAnsi="Arial" w:cs="Arial"/>
          <w:sz w:val="24"/>
          <w:szCs w:val="24"/>
        </w:rPr>
      </w:pPr>
      <w:r w:rsidRPr="00BE2846">
        <w:rPr>
          <w:rFonts w:ascii="Arial" w:hAnsi="Arial" w:cs="Arial"/>
          <w:sz w:val="24"/>
          <w:szCs w:val="24"/>
        </w:rPr>
        <w:t>The Construction Backlog Indicator (CBI) is a forward-looking national economic indicator that reflects the amount of work that will be performed by commercial and industrial contractors in the months ahead.  This new, national economic data set is the only reliable leading economic indicator offering this level of specificity focused on the U.S. commercial and institutional, industrial, and infrastructure construction industries.</w:t>
      </w:r>
    </w:p>
    <w:p w:rsidR="00867B60" w:rsidRPr="00BE2846" w:rsidRDefault="00867B60">
      <w:pPr>
        <w:pStyle w:val="BodyText"/>
        <w:spacing w:before="6"/>
        <w:rPr>
          <w:rFonts w:ascii="Arial" w:hAnsi="Arial" w:cs="Arial"/>
          <w:sz w:val="24"/>
          <w:szCs w:val="24"/>
        </w:rPr>
      </w:pPr>
    </w:p>
    <w:p w:rsidR="00867B60" w:rsidRPr="00BE2846" w:rsidRDefault="00BC0273">
      <w:pPr>
        <w:pStyle w:val="Heading1"/>
        <w:ind w:left="100"/>
        <w:rPr>
          <w:rFonts w:ascii="Arial" w:hAnsi="Arial" w:cs="Arial"/>
          <w:sz w:val="24"/>
          <w:szCs w:val="24"/>
        </w:rPr>
      </w:pPr>
      <w:r w:rsidRPr="00BE2846">
        <w:rPr>
          <w:rFonts w:ascii="Arial" w:hAnsi="Arial" w:cs="Arial"/>
          <w:sz w:val="24"/>
          <w:szCs w:val="24"/>
        </w:rPr>
        <w:t>What is Backlog?</w:t>
      </w:r>
    </w:p>
    <w:p w:rsidR="00867B60" w:rsidRPr="00BE2846" w:rsidRDefault="00867B60">
      <w:pPr>
        <w:pStyle w:val="BodyText"/>
        <w:spacing w:before="9"/>
        <w:rPr>
          <w:rFonts w:ascii="Arial" w:hAnsi="Arial" w:cs="Arial"/>
          <w:b/>
          <w:sz w:val="24"/>
          <w:szCs w:val="24"/>
        </w:rPr>
      </w:pPr>
    </w:p>
    <w:p w:rsidR="00867B60" w:rsidRPr="00BE2846" w:rsidRDefault="00BC0273">
      <w:pPr>
        <w:pStyle w:val="BodyText"/>
        <w:spacing w:line="264" w:lineRule="auto"/>
        <w:ind w:left="100" w:right="175"/>
        <w:rPr>
          <w:rFonts w:ascii="Arial" w:hAnsi="Arial" w:cs="Arial"/>
          <w:sz w:val="24"/>
          <w:szCs w:val="24"/>
        </w:rPr>
      </w:pPr>
      <w:r w:rsidRPr="00BE2846">
        <w:rPr>
          <w:rFonts w:ascii="Arial" w:hAnsi="Arial" w:cs="Arial"/>
          <w:sz w:val="24"/>
          <w:szCs w:val="24"/>
        </w:rPr>
        <w:t>Backlog is the amount of work, measured in dollars, that construction companies are contracted to do in the future. The greater the value of the backlog, the more comfortable contractors can be with respect to their near-term economic circumstances.  The smaller the value of the backlog, as a share of annual revenues, the less comfortable are the circumstances in which contractors are</w:t>
      </w:r>
    </w:p>
    <w:p w:rsidR="00867B60" w:rsidRPr="00BE2846" w:rsidRDefault="00BC0273">
      <w:pPr>
        <w:pStyle w:val="BodyText"/>
        <w:spacing w:line="264" w:lineRule="auto"/>
        <w:ind w:left="100" w:right="144"/>
        <w:rPr>
          <w:rFonts w:ascii="Arial" w:hAnsi="Arial" w:cs="Arial"/>
          <w:sz w:val="24"/>
          <w:szCs w:val="24"/>
        </w:rPr>
      </w:pPr>
      <w:r w:rsidRPr="00BE2846">
        <w:rPr>
          <w:rFonts w:ascii="Arial" w:hAnsi="Arial" w:cs="Arial"/>
          <w:sz w:val="24"/>
          <w:szCs w:val="24"/>
        </w:rPr>
        <w:t>operating. Excessively small backlogs imply that contractors are running out of work and need to identify and secure additional sources of future revenues.</w:t>
      </w:r>
    </w:p>
    <w:p w:rsidR="00867B60" w:rsidRPr="00BE2846" w:rsidRDefault="00867B60">
      <w:pPr>
        <w:pStyle w:val="BodyText"/>
        <w:spacing w:before="9"/>
        <w:rPr>
          <w:rFonts w:ascii="Arial" w:hAnsi="Arial" w:cs="Arial"/>
          <w:sz w:val="24"/>
          <w:szCs w:val="24"/>
        </w:rPr>
      </w:pPr>
    </w:p>
    <w:p w:rsidR="00867B60" w:rsidRPr="00BE2846" w:rsidRDefault="00BC0273">
      <w:pPr>
        <w:pStyle w:val="BodyText"/>
        <w:spacing w:line="264" w:lineRule="auto"/>
        <w:ind w:left="100" w:right="88"/>
        <w:rPr>
          <w:rFonts w:ascii="Arial" w:hAnsi="Arial" w:cs="Arial"/>
          <w:sz w:val="24"/>
          <w:szCs w:val="24"/>
        </w:rPr>
      </w:pPr>
      <w:r w:rsidRPr="00BE2846">
        <w:rPr>
          <w:rFonts w:ascii="Arial" w:hAnsi="Arial" w:cs="Arial"/>
          <w:sz w:val="24"/>
          <w:szCs w:val="24"/>
        </w:rPr>
        <w:t>The measure is particularly timely given ongoing economic turbulence as well as initiatives designed to countervail economic weakness, including the American Recovery and Reinvestment Act of 2009.</w:t>
      </w:r>
    </w:p>
    <w:p w:rsidR="00867B60" w:rsidRPr="00BE2846" w:rsidRDefault="00867B60">
      <w:pPr>
        <w:pStyle w:val="BodyText"/>
        <w:spacing w:before="6"/>
        <w:rPr>
          <w:rFonts w:ascii="Arial" w:hAnsi="Arial" w:cs="Arial"/>
          <w:sz w:val="24"/>
          <w:szCs w:val="24"/>
        </w:rPr>
      </w:pPr>
    </w:p>
    <w:p w:rsidR="00867B60" w:rsidRPr="00BE2846" w:rsidRDefault="00BC0273">
      <w:pPr>
        <w:pStyle w:val="Heading1"/>
        <w:ind w:left="100"/>
        <w:rPr>
          <w:rFonts w:ascii="Arial" w:hAnsi="Arial" w:cs="Arial"/>
          <w:sz w:val="24"/>
          <w:szCs w:val="24"/>
        </w:rPr>
      </w:pPr>
      <w:r w:rsidRPr="00BE2846">
        <w:rPr>
          <w:rFonts w:ascii="Arial" w:hAnsi="Arial" w:cs="Arial"/>
          <w:sz w:val="24"/>
          <w:szCs w:val="24"/>
        </w:rPr>
        <w:t>Methodology</w:t>
      </w:r>
    </w:p>
    <w:p w:rsidR="00867B60" w:rsidRPr="00BE2846" w:rsidRDefault="00867B60">
      <w:pPr>
        <w:pStyle w:val="BodyText"/>
        <w:spacing w:before="11"/>
        <w:rPr>
          <w:rFonts w:ascii="Arial" w:hAnsi="Arial" w:cs="Arial"/>
          <w:b/>
          <w:sz w:val="24"/>
          <w:szCs w:val="24"/>
        </w:rPr>
      </w:pPr>
    </w:p>
    <w:p w:rsidR="00867B60" w:rsidRPr="00BE2846" w:rsidRDefault="00BC0273">
      <w:pPr>
        <w:pStyle w:val="BodyText"/>
        <w:spacing w:line="264" w:lineRule="auto"/>
        <w:ind w:left="100" w:right="88"/>
        <w:rPr>
          <w:rFonts w:ascii="Arial" w:hAnsi="Arial" w:cs="Arial"/>
          <w:sz w:val="24"/>
          <w:szCs w:val="24"/>
        </w:rPr>
      </w:pPr>
      <w:r w:rsidRPr="00BE2846">
        <w:rPr>
          <w:rFonts w:ascii="Arial" w:hAnsi="Arial" w:cs="Arial"/>
          <w:sz w:val="24"/>
          <w:szCs w:val="24"/>
        </w:rPr>
        <w:t xml:space="preserve">This national assessment of construction backlogs is based upon a confidential, monthly survey sent to ABC member companies located throughout the U.S. These members are active in various nonresidential construction segments and the results are disaggregated by these segments. </w:t>
      </w:r>
    </w:p>
    <w:p w:rsidR="00867B60" w:rsidRPr="00BE2846" w:rsidRDefault="00867B60">
      <w:pPr>
        <w:pStyle w:val="BodyText"/>
        <w:spacing w:before="7"/>
        <w:rPr>
          <w:rFonts w:ascii="Arial" w:hAnsi="Arial" w:cs="Arial"/>
          <w:sz w:val="24"/>
          <w:szCs w:val="24"/>
        </w:rPr>
      </w:pPr>
    </w:p>
    <w:p w:rsidR="00867B60" w:rsidRPr="00BE2846" w:rsidRDefault="00BC0273">
      <w:pPr>
        <w:pStyle w:val="BodyText"/>
        <w:spacing w:line="264" w:lineRule="auto"/>
        <w:ind w:left="100" w:right="178"/>
        <w:rPr>
          <w:rFonts w:ascii="Arial" w:hAnsi="Arial" w:cs="Arial"/>
          <w:sz w:val="24"/>
          <w:szCs w:val="24"/>
        </w:rPr>
      </w:pPr>
      <w:r w:rsidRPr="00BE2846">
        <w:rPr>
          <w:rFonts w:ascii="Arial" w:hAnsi="Arial" w:cs="Arial"/>
          <w:sz w:val="24"/>
          <w:szCs w:val="24"/>
        </w:rPr>
        <w:t>The formula ABC uses to convert reported backlogs measured in dollars into months of available work is:</w:t>
      </w:r>
    </w:p>
    <w:p w:rsidR="00867B60" w:rsidRPr="00BE2846" w:rsidRDefault="00867B60">
      <w:pPr>
        <w:pStyle w:val="BodyText"/>
        <w:spacing w:before="7"/>
        <w:rPr>
          <w:rFonts w:ascii="Arial" w:hAnsi="Arial" w:cs="Arial"/>
          <w:sz w:val="24"/>
          <w:szCs w:val="24"/>
        </w:rPr>
      </w:pPr>
    </w:p>
    <w:p w:rsidR="00867B60" w:rsidRPr="00BE2846" w:rsidRDefault="00BC0273" w:rsidP="00BE2846">
      <w:pPr>
        <w:pStyle w:val="Heading2"/>
        <w:spacing w:line="264" w:lineRule="auto"/>
        <w:ind w:left="234"/>
        <w:rPr>
          <w:rFonts w:ascii="Arial" w:hAnsi="Arial" w:cs="Arial"/>
          <w:sz w:val="24"/>
          <w:szCs w:val="24"/>
        </w:rPr>
      </w:pPr>
      <w:r w:rsidRPr="00BE2846">
        <w:rPr>
          <w:rFonts w:ascii="Arial" w:hAnsi="Arial" w:cs="Arial"/>
          <w:sz w:val="24"/>
          <w:szCs w:val="24"/>
        </w:rPr>
        <w:t xml:space="preserve">Current month’s level of backlogs (reported in dollars) ÷ </w:t>
      </w:r>
      <w:r w:rsidR="00BE2846">
        <w:rPr>
          <w:rFonts w:ascii="Arial" w:hAnsi="Arial" w:cs="Arial"/>
          <w:sz w:val="24"/>
          <w:szCs w:val="24"/>
        </w:rPr>
        <w:t>prior fiscal</w:t>
      </w:r>
      <w:r w:rsidRPr="00BE2846">
        <w:rPr>
          <w:rFonts w:ascii="Arial" w:hAnsi="Arial" w:cs="Arial"/>
          <w:sz w:val="24"/>
          <w:szCs w:val="24"/>
        </w:rPr>
        <w:t xml:space="preserve"> year revenues × 12 = total months of forward-looking work under contract</w:t>
      </w:r>
    </w:p>
    <w:p w:rsidR="00867B60" w:rsidRPr="00BE2846" w:rsidRDefault="00867B60">
      <w:pPr>
        <w:pStyle w:val="BodyText"/>
        <w:rPr>
          <w:rFonts w:ascii="Arial" w:hAnsi="Arial" w:cs="Arial"/>
          <w:b/>
          <w:sz w:val="24"/>
          <w:szCs w:val="24"/>
        </w:rPr>
      </w:pPr>
    </w:p>
    <w:p w:rsidR="00867B60" w:rsidRPr="00BE2846" w:rsidRDefault="00BC0273">
      <w:pPr>
        <w:pStyle w:val="BodyText"/>
        <w:spacing w:before="146" w:line="264" w:lineRule="auto"/>
        <w:ind w:left="100" w:right="144"/>
        <w:rPr>
          <w:rFonts w:ascii="Arial" w:hAnsi="Arial" w:cs="Arial"/>
          <w:sz w:val="24"/>
          <w:szCs w:val="24"/>
        </w:rPr>
      </w:pPr>
      <w:r w:rsidRPr="00BE2846">
        <w:rPr>
          <w:rFonts w:ascii="Arial" w:hAnsi="Arial" w:cs="Arial"/>
          <w:sz w:val="24"/>
          <w:szCs w:val="24"/>
        </w:rPr>
        <w:t>To maximize the comparability of one month versus another, ABC has worked to maximize consistent reporting among survey sample participants. The effort has been supported by the longstanding relationships between ABC and its members, as well as carefully crafted communications with those responsible for responding to each monthly survey.</w:t>
      </w:r>
    </w:p>
    <w:p w:rsidR="00867B60" w:rsidRPr="00BE2846" w:rsidRDefault="00867B60">
      <w:pPr>
        <w:spacing w:line="264" w:lineRule="auto"/>
        <w:rPr>
          <w:rFonts w:ascii="Arial" w:hAnsi="Arial" w:cs="Arial"/>
          <w:sz w:val="24"/>
          <w:szCs w:val="24"/>
        </w:rPr>
        <w:sectPr w:rsidR="00867B60" w:rsidRPr="00BE2846">
          <w:footerReference w:type="default" r:id="rId6"/>
          <w:type w:val="continuous"/>
          <w:pgSz w:w="12240" w:h="15840"/>
          <w:pgMar w:top="1440" w:right="1340" w:bottom="280" w:left="1340" w:header="720" w:footer="720" w:gutter="0"/>
          <w:cols w:space="720"/>
        </w:sectPr>
      </w:pPr>
    </w:p>
    <w:p w:rsidR="00867B60" w:rsidRPr="00BE2846" w:rsidRDefault="00BC0273">
      <w:pPr>
        <w:pStyle w:val="Heading1"/>
        <w:spacing w:before="77"/>
        <w:rPr>
          <w:rFonts w:ascii="Arial" w:hAnsi="Arial" w:cs="Arial"/>
          <w:sz w:val="24"/>
          <w:szCs w:val="24"/>
        </w:rPr>
      </w:pPr>
      <w:r w:rsidRPr="00BE2846">
        <w:rPr>
          <w:rFonts w:ascii="Arial" w:hAnsi="Arial" w:cs="Arial"/>
          <w:sz w:val="24"/>
          <w:szCs w:val="24"/>
        </w:rPr>
        <w:lastRenderedPageBreak/>
        <w:t>Regional Highlights</w:t>
      </w:r>
    </w:p>
    <w:p w:rsidR="00867B60" w:rsidRPr="00BE2846" w:rsidRDefault="00867B60">
      <w:pPr>
        <w:pStyle w:val="BodyText"/>
        <w:spacing w:before="9"/>
        <w:rPr>
          <w:rFonts w:ascii="Arial" w:hAnsi="Arial" w:cs="Arial"/>
          <w:b/>
          <w:sz w:val="24"/>
          <w:szCs w:val="24"/>
        </w:rPr>
      </w:pPr>
    </w:p>
    <w:p w:rsidR="00867B60" w:rsidRPr="00BE2846" w:rsidRDefault="00BC0273">
      <w:pPr>
        <w:pStyle w:val="BodyText"/>
        <w:spacing w:before="1" w:line="264" w:lineRule="auto"/>
        <w:ind w:left="300" w:right="1014"/>
        <w:rPr>
          <w:rFonts w:ascii="Arial" w:hAnsi="Arial" w:cs="Arial"/>
          <w:sz w:val="24"/>
          <w:szCs w:val="24"/>
        </w:rPr>
      </w:pPr>
      <w:r w:rsidRPr="00BE2846">
        <w:rPr>
          <w:rFonts w:ascii="Arial" w:hAnsi="Arial" w:cs="Arial"/>
          <w:sz w:val="24"/>
          <w:szCs w:val="24"/>
        </w:rPr>
        <w:t>CBI survey participants are asked to provide information regarding the geographic source of their revenues. Companies indicate the percentage of work performed in each of four regions of the country:  Northeast, South, Middle States and West.  The composition of regions is as follows:</w:t>
      </w:r>
    </w:p>
    <w:p w:rsidR="00867B60" w:rsidRPr="00BE2846" w:rsidRDefault="00867B60">
      <w:pPr>
        <w:pStyle w:val="BodyText"/>
        <w:spacing w:before="6"/>
        <w:rPr>
          <w:rFonts w:ascii="Arial" w:hAnsi="Arial" w:cs="Arial"/>
          <w:sz w:val="24"/>
          <w:szCs w:val="24"/>
        </w:rPr>
      </w:pPr>
    </w:p>
    <w:p w:rsidR="00446DC7" w:rsidRDefault="00446DC7" w:rsidP="003E07D1">
      <w:pPr>
        <w:pStyle w:val="Heading1"/>
        <w:rPr>
          <w:rFonts w:ascii="Arial" w:hAnsi="Arial" w:cs="Arial"/>
          <w:sz w:val="24"/>
          <w:szCs w:val="24"/>
        </w:rPr>
        <w:sectPr w:rsidR="00446DC7">
          <w:pgSz w:w="12240" w:h="15840"/>
          <w:pgMar w:top="1360" w:right="900" w:bottom="280" w:left="1140" w:header="720" w:footer="720" w:gutter="0"/>
          <w:cols w:space="720"/>
        </w:sectPr>
      </w:pPr>
    </w:p>
    <w:p w:rsidR="003E07D1" w:rsidRPr="003E07D1" w:rsidRDefault="003E07D1" w:rsidP="003E07D1">
      <w:pPr>
        <w:pStyle w:val="Heading1"/>
        <w:rPr>
          <w:rFonts w:ascii="Arial" w:hAnsi="Arial" w:cs="Arial"/>
          <w:sz w:val="24"/>
          <w:szCs w:val="24"/>
        </w:rPr>
      </w:pPr>
      <w:r w:rsidRPr="003E07D1">
        <w:rPr>
          <w:rFonts w:ascii="Arial" w:hAnsi="Arial" w:cs="Arial"/>
          <w:sz w:val="24"/>
          <w:szCs w:val="24"/>
        </w:rPr>
        <w:t>Northeast</w:t>
      </w:r>
    </w:p>
    <w:p w:rsidR="003E07D1" w:rsidRPr="003E07D1" w:rsidRDefault="003E07D1" w:rsidP="003E07D1">
      <w:pPr>
        <w:pStyle w:val="Heading1"/>
        <w:rPr>
          <w:rFonts w:ascii="Arial" w:hAnsi="Arial" w:cs="Arial"/>
          <w:b w:val="0"/>
          <w:sz w:val="24"/>
          <w:szCs w:val="24"/>
        </w:rPr>
      </w:pPr>
      <w:r w:rsidRPr="003E07D1">
        <w:rPr>
          <w:rFonts w:ascii="Arial" w:hAnsi="Arial" w:cs="Arial"/>
          <w:b w:val="0"/>
          <w:sz w:val="24"/>
          <w:szCs w:val="24"/>
        </w:rPr>
        <w:t>Maine Vermont</w:t>
      </w:r>
    </w:p>
    <w:p w:rsidR="003E07D1" w:rsidRPr="003E07D1" w:rsidRDefault="003E07D1" w:rsidP="003E07D1">
      <w:pPr>
        <w:pStyle w:val="Heading1"/>
        <w:rPr>
          <w:rFonts w:ascii="Arial" w:hAnsi="Arial" w:cs="Arial"/>
          <w:b w:val="0"/>
          <w:sz w:val="24"/>
          <w:szCs w:val="24"/>
        </w:rPr>
      </w:pPr>
      <w:r w:rsidRPr="003E07D1">
        <w:rPr>
          <w:rFonts w:ascii="Arial" w:hAnsi="Arial" w:cs="Arial"/>
          <w:b w:val="0"/>
          <w:sz w:val="24"/>
          <w:szCs w:val="24"/>
        </w:rPr>
        <w:t xml:space="preserve">New Hampshire </w:t>
      </w:r>
    </w:p>
    <w:p w:rsidR="003E07D1" w:rsidRPr="003E07D1" w:rsidRDefault="003E07D1" w:rsidP="003E07D1">
      <w:pPr>
        <w:pStyle w:val="Heading1"/>
        <w:rPr>
          <w:rFonts w:ascii="Arial" w:hAnsi="Arial" w:cs="Arial"/>
          <w:b w:val="0"/>
          <w:sz w:val="24"/>
          <w:szCs w:val="24"/>
        </w:rPr>
      </w:pPr>
      <w:r w:rsidRPr="003E07D1">
        <w:rPr>
          <w:rFonts w:ascii="Arial" w:hAnsi="Arial" w:cs="Arial"/>
          <w:b w:val="0"/>
          <w:sz w:val="24"/>
          <w:szCs w:val="24"/>
        </w:rPr>
        <w:t xml:space="preserve">Massachusetts </w:t>
      </w:r>
    </w:p>
    <w:p w:rsidR="003E07D1" w:rsidRPr="003E07D1" w:rsidRDefault="003E07D1" w:rsidP="003E07D1">
      <w:pPr>
        <w:pStyle w:val="Heading1"/>
        <w:rPr>
          <w:rFonts w:ascii="Arial" w:hAnsi="Arial" w:cs="Arial"/>
          <w:b w:val="0"/>
          <w:sz w:val="24"/>
          <w:szCs w:val="24"/>
        </w:rPr>
      </w:pPr>
      <w:r w:rsidRPr="003E07D1">
        <w:rPr>
          <w:rFonts w:ascii="Arial" w:hAnsi="Arial" w:cs="Arial"/>
          <w:b w:val="0"/>
          <w:sz w:val="24"/>
          <w:szCs w:val="24"/>
        </w:rPr>
        <w:t xml:space="preserve">Rhode Island </w:t>
      </w:r>
    </w:p>
    <w:p w:rsidR="003E07D1" w:rsidRPr="003E07D1" w:rsidRDefault="003E07D1" w:rsidP="003E07D1">
      <w:pPr>
        <w:pStyle w:val="Heading1"/>
        <w:rPr>
          <w:rFonts w:ascii="Arial" w:hAnsi="Arial" w:cs="Arial"/>
          <w:b w:val="0"/>
          <w:sz w:val="24"/>
          <w:szCs w:val="24"/>
        </w:rPr>
      </w:pPr>
      <w:r w:rsidRPr="003E07D1">
        <w:rPr>
          <w:rFonts w:ascii="Arial" w:hAnsi="Arial" w:cs="Arial"/>
          <w:b w:val="0"/>
          <w:sz w:val="24"/>
          <w:szCs w:val="24"/>
        </w:rPr>
        <w:t xml:space="preserve">Connecticut </w:t>
      </w:r>
    </w:p>
    <w:p w:rsidR="003E07D1" w:rsidRPr="003E07D1" w:rsidRDefault="003E07D1" w:rsidP="003E07D1">
      <w:pPr>
        <w:pStyle w:val="Heading1"/>
        <w:rPr>
          <w:rFonts w:ascii="Arial" w:hAnsi="Arial" w:cs="Arial"/>
          <w:b w:val="0"/>
          <w:sz w:val="24"/>
          <w:szCs w:val="24"/>
        </w:rPr>
      </w:pPr>
      <w:r w:rsidRPr="003E07D1">
        <w:rPr>
          <w:rFonts w:ascii="Arial" w:hAnsi="Arial" w:cs="Arial"/>
          <w:b w:val="0"/>
          <w:sz w:val="24"/>
          <w:szCs w:val="24"/>
        </w:rPr>
        <w:t xml:space="preserve">New York </w:t>
      </w:r>
    </w:p>
    <w:p w:rsidR="003E07D1" w:rsidRPr="003E07D1" w:rsidRDefault="003E07D1" w:rsidP="003E07D1">
      <w:pPr>
        <w:pStyle w:val="Heading1"/>
        <w:rPr>
          <w:rFonts w:ascii="Arial" w:hAnsi="Arial" w:cs="Arial"/>
          <w:b w:val="0"/>
          <w:sz w:val="24"/>
          <w:szCs w:val="24"/>
        </w:rPr>
      </w:pPr>
      <w:r w:rsidRPr="003E07D1">
        <w:rPr>
          <w:rFonts w:ascii="Arial" w:hAnsi="Arial" w:cs="Arial"/>
          <w:b w:val="0"/>
          <w:sz w:val="24"/>
          <w:szCs w:val="24"/>
        </w:rPr>
        <w:t xml:space="preserve">Pennsylvania </w:t>
      </w:r>
    </w:p>
    <w:p w:rsidR="003E07D1" w:rsidRPr="003E07D1" w:rsidRDefault="003E07D1" w:rsidP="003E07D1">
      <w:pPr>
        <w:pStyle w:val="Heading1"/>
        <w:rPr>
          <w:rFonts w:ascii="Arial" w:hAnsi="Arial" w:cs="Arial"/>
          <w:b w:val="0"/>
          <w:sz w:val="24"/>
          <w:szCs w:val="24"/>
        </w:rPr>
      </w:pPr>
      <w:r w:rsidRPr="003E07D1">
        <w:rPr>
          <w:rFonts w:ascii="Arial" w:hAnsi="Arial" w:cs="Arial"/>
          <w:b w:val="0"/>
          <w:sz w:val="24"/>
          <w:szCs w:val="24"/>
        </w:rPr>
        <w:t xml:space="preserve">New Jersey </w:t>
      </w:r>
    </w:p>
    <w:p w:rsidR="003E07D1" w:rsidRPr="003E07D1" w:rsidRDefault="003E07D1" w:rsidP="003E07D1">
      <w:pPr>
        <w:pStyle w:val="Heading1"/>
        <w:rPr>
          <w:rFonts w:ascii="Arial" w:hAnsi="Arial" w:cs="Arial"/>
          <w:b w:val="0"/>
          <w:sz w:val="24"/>
          <w:szCs w:val="24"/>
        </w:rPr>
      </w:pPr>
      <w:r w:rsidRPr="003E07D1">
        <w:rPr>
          <w:rFonts w:ascii="Arial" w:hAnsi="Arial" w:cs="Arial"/>
          <w:b w:val="0"/>
          <w:sz w:val="24"/>
          <w:szCs w:val="24"/>
        </w:rPr>
        <w:t xml:space="preserve">Maryland </w:t>
      </w:r>
    </w:p>
    <w:p w:rsidR="003E07D1" w:rsidRPr="003E07D1" w:rsidRDefault="003E07D1" w:rsidP="003E07D1">
      <w:pPr>
        <w:pStyle w:val="Heading1"/>
        <w:rPr>
          <w:rFonts w:ascii="Arial" w:hAnsi="Arial" w:cs="Arial"/>
          <w:b w:val="0"/>
          <w:sz w:val="24"/>
          <w:szCs w:val="24"/>
        </w:rPr>
      </w:pPr>
      <w:r w:rsidRPr="003E07D1">
        <w:rPr>
          <w:rFonts w:ascii="Arial" w:hAnsi="Arial" w:cs="Arial"/>
          <w:b w:val="0"/>
          <w:sz w:val="24"/>
          <w:szCs w:val="24"/>
        </w:rPr>
        <w:t>Delaware</w:t>
      </w:r>
    </w:p>
    <w:p w:rsidR="003E07D1" w:rsidRPr="003E07D1" w:rsidRDefault="003E07D1" w:rsidP="003E07D1">
      <w:pPr>
        <w:pStyle w:val="Heading1"/>
        <w:rPr>
          <w:rFonts w:ascii="Arial" w:hAnsi="Arial" w:cs="Arial"/>
          <w:b w:val="0"/>
          <w:sz w:val="24"/>
          <w:szCs w:val="24"/>
        </w:rPr>
      </w:pPr>
      <w:r w:rsidRPr="003E07D1">
        <w:rPr>
          <w:rFonts w:ascii="Arial" w:hAnsi="Arial" w:cs="Arial"/>
          <w:b w:val="0"/>
          <w:sz w:val="24"/>
          <w:szCs w:val="24"/>
        </w:rPr>
        <w:t xml:space="preserve">District of Columbia </w:t>
      </w:r>
    </w:p>
    <w:p w:rsidR="003E07D1" w:rsidRPr="003E07D1" w:rsidRDefault="003E07D1" w:rsidP="003E07D1">
      <w:pPr>
        <w:pStyle w:val="Heading1"/>
        <w:rPr>
          <w:rFonts w:ascii="Arial" w:hAnsi="Arial" w:cs="Arial"/>
          <w:b w:val="0"/>
          <w:sz w:val="24"/>
          <w:szCs w:val="24"/>
        </w:rPr>
      </w:pPr>
      <w:r w:rsidRPr="003E07D1">
        <w:rPr>
          <w:rFonts w:ascii="Arial" w:hAnsi="Arial" w:cs="Arial"/>
          <w:b w:val="0"/>
          <w:sz w:val="24"/>
          <w:szCs w:val="24"/>
        </w:rPr>
        <w:t>West Virginia</w:t>
      </w:r>
    </w:p>
    <w:p w:rsidR="003E07D1" w:rsidRPr="003E07D1" w:rsidRDefault="003E07D1" w:rsidP="00446DC7">
      <w:pPr>
        <w:pStyle w:val="Heading1"/>
        <w:ind w:left="0" w:firstLine="300"/>
        <w:rPr>
          <w:rFonts w:ascii="Arial" w:hAnsi="Arial" w:cs="Arial"/>
          <w:sz w:val="24"/>
          <w:szCs w:val="24"/>
        </w:rPr>
      </w:pPr>
      <w:r w:rsidRPr="003E07D1">
        <w:rPr>
          <w:rFonts w:ascii="Arial" w:hAnsi="Arial" w:cs="Arial"/>
          <w:sz w:val="24"/>
          <w:szCs w:val="24"/>
        </w:rPr>
        <w:t>South</w:t>
      </w:r>
    </w:p>
    <w:p w:rsidR="003E07D1" w:rsidRPr="003E07D1" w:rsidRDefault="003E07D1" w:rsidP="003E07D1">
      <w:pPr>
        <w:pStyle w:val="Heading1"/>
        <w:rPr>
          <w:rFonts w:ascii="Arial" w:hAnsi="Arial" w:cs="Arial"/>
          <w:b w:val="0"/>
          <w:sz w:val="24"/>
          <w:szCs w:val="24"/>
        </w:rPr>
      </w:pPr>
      <w:r w:rsidRPr="003E07D1">
        <w:rPr>
          <w:rFonts w:ascii="Arial" w:hAnsi="Arial" w:cs="Arial"/>
          <w:b w:val="0"/>
          <w:sz w:val="24"/>
          <w:szCs w:val="24"/>
        </w:rPr>
        <w:t>Virginia</w:t>
      </w:r>
    </w:p>
    <w:p w:rsidR="00446DC7" w:rsidRDefault="003E07D1" w:rsidP="003E07D1">
      <w:pPr>
        <w:pStyle w:val="Heading1"/>
        <w:rPr>
          <w:rFonts w:ascii="Arial" w:hAnsi="Arial" w:cs="Arial"/>
          <w:b w:val="0"/>
          <w:sz w:val="24"/>
          <w:szCs w:val="24"/>
        </w:rPr>
      </w:pPr>
      <w:r w:rsidRPr="003E07D1">
        <w:rPr>
          <w:rFonts w:ascii="Arial" w:hAnsi="Arial" w:cs="Arial"/>
          <w:b w:val="0"/>
          <w:sz w:val="24"/>
          <w:szCs w:val="24"/>
        </w:rPr>
        <w:t xml:space="preserve">North Carolina </w:t>
      </w:r>
    </w:p>
    <w:p w:rsidR="00446DC7" w:rsidRDefault="003E07D1" w:rsidP="003E07D1">
      <w:pPr>
        <w:pStyle w:val="Heading1"/>
        <w:rPr>
          <w:rFonts w:ascii="Arial" w:hAnsi="Arial" w:cs="Arial"/>
          <w:b w:val="0"/>
          <w:sz w:val="24"/>
          <w:szCs w:val="24"/>
        </w:rPr>
      </w:pPr>
      <w:r w:rsidRPr="003E07D1">
        <w:rPr>
          <w:rFonts w:ascii="Arial" w:hAnsi="Arial" w:cs="Arial"/>
          <w:b w:val="0"/>
          <w:sz w:val="24"/>
          <w:szCs w:val="24"/>
        </w:rPr>
        <w:t xml:space="preserve">South Carolina </w:t>
      </w:r>
    </w:p>
    <w:p w:rsidR="00446DC7" w:rsidRDefault="003E07D1" w:rsidP="003E07D1">
      <w:pPr>
        <w:pStyle w:val="Heading1"/>
        <w:rPr>
          <w:rFonts w:ascii="Arial" w:hAnsi="Arial" w:cs="Arial"/>
          <w:b w:val="0"/>
          <w:sz w:val="24"/>
          <w:szCs w:val="24"/>
        </w:rPr>
      </w:pPr>
      <w:r w:rsidRPr="003E07D1">
        <w:rPr>
          <w:rFonts w:ascii="Arial" w:hAnsi="Arial" w:cs="Arial"/>
          <w:b w:val="0"/>
          <w:sz w:val="24"/>
          <w:szCs w:val="24"/>
        </w:rPr>
        <w:t xml:space="preserve">Georgia </w:t>
      </w:r>
    </w:p>
    <w:p w:rsidR="00446DC7" w:rsidRDefault="003E07D1" w:rsidP="003E07D1">
      <w:pPr>
        <w:pStyle w:val="Heading1"/>
        <w:rPr>
          <w:rFonts w:ascii="Arial" w:hAnsi="Arial" w:cs="Arial"/>
          <w:b w:val="0"/>
          <w:sz w:val="24"/>
          <w:szCs w:val="24"/>
        </w:rPr>
      </w:pPr>
      <w:r w:rsidRPr="003E07D1">
        <w:rPr>
          <w:rFonts w:ascii="Arial" w:hAnsi="Arial" w:cs="Arial"/>
          <w:b w:val="0"/>
          <w:sz w:val="24"/>
          <w:szCs w:val="24"/>
        </w:rPr>
        <w:t xml:space="preserve">Florida </w:t>
      </w:r>
    </w:p>
    <w:p w:rsidR="00446DC7" w:rsidRDefault="003E07D1" w:rsidP="003E07D1">
      <w:pPr>
        <w:pStyle w:val="Heading1"/>
        <w:rPr>
          <w:rFonts w:ascii="Arial" w:hAnsi="Arial" w:cs="Arial"/>
          <w:b w:val="0"/>
          <w:sz w:val="24"/>
          <w:szCs w:val="24"/>
        </w:rPr>
      </w:pPr>
      <w:r w:rsidRPr="003E07D1">
        <w:rPr>
          <w:rFonts w:ascii="Arial" w:hAnsi="Arial" w:cs="Arial"/>
          <w:b w:val="0"/>
          <w:sz w:val="24"/>
          <w:szCs w:val="24"/>
        </w:rPr>
        <w:t xml:space="preserve">Alabama </w:t>
      </w:r>
    </w:p>
    <w:p w:rsidR="00446DC7" w:rsidRDefault="003E07D1" w:rsidP="003E07D1">
      <w:pPr>
        <w:pStyle w:val="Heading1"/>
        <w:rPr>
          <w:rFonts w:ascii="Arial" w:hAnsi="Arial" w:cs="Arial"/>
          <w:b w:val="0"/>
          <w:sz w:val="24"/>
          <w:szCs w:val="24"/>
        </w:rPr>
      </w:pPr>
      <w:r w:rsidRPr="003E07D1">
        <w:rPr>
          <w:rFonts w:ascii="Arial" w:hAnsi="Arial" w:cs="Arial"/>
          <w:b w:val="0"/>
          <w:sz w:val="24"/>
          <w:szCs w:val="24"/>
        </w:rPr>
        <w:t xml:space="preserve">Louisiana </w:t>
      </w:r>
    </w:p>
    <w:p w:rsidR="00446DC7" w:rsidRDefault="003E07D1" w:rsidP="003E07D1">
      <w:pPr>
        <w:pStyle w:val="Heading1"/>
        <w:rPr>
          <w:rFonts w:ascii="Arial" w:hAnsi="Arial" w:cs="Arial"/>
          <w:b w:val="0"/>
          <w:sz w:val="24"/>
          <w:szCs w:val="24"/>
        </w:rPr>
      </w:pPr>
      <w:r w:rsidRPr="003E07D1">
        <w:rPr>
          <w:rFonts w:ascii="Arial" w:hAnsi="Arial" w:cs="Arial"/>
          <w:b w:val="0"/>
          <w:sz w:val="24"/>
          <w:szCs w:val="24"/>
        </w:rPr>
        <w:t xml:space="preserve">Mississippi </w:t>
      </w:r>
    </w:p>
    <w:p w:rsidR="00446DC7" w:rsidRDefault="003E07D1" w:rsidP="003E07D1">
      <w:pPr>
        <w:pStyle w:val="Heading1"/>
        <w:rPr>
          <w:rFonts w:ascii="Arial" w:hAnsi="Arial" w:cs="Arial"/>
          <w:b w:val="0"/>
          <w:sz w:val="24"/>
          <w:szCs w:val="24"/>
        </w:rPr>
      </w:pPr>
      <w:r w:rsidRPr="003E07D1">
        <w:rPr>
          <w:rFonts w:ascii="Arial" w:hAnsi="Arial" w:cs="Arial"/>
          <w:b w:val="0"/>
          <w:sz w:val="24"/>
          <w:szCs w:val="24"/>
        </w:rPr>
        <w:t xml:space="preserve">Tennessee </w:t>
      </w:r>
    </w:p>
    <w:p w:rsidR="00446DC7" w:rsidRDefault="003E07D1" w:rsidP="003E07D1">
      <w:pPr>
        <w:pStyle w:val="Heading1"/>
        <w:rPr>
          <w:rFonts w:ascii="Arial" w:hAnsi="Arial" w:cs="Arial"/>
          <w:b w:val="0"/>
          <w:sz w:val="24"/>
          <w:szCs w:val="24"/>
        </w:rPr>
      </w:pPr>
      <w:r w:rsidRPr="003E07D1">
        <w:rPr>
          <w:rFonts w:ascii="Arial" w:hAnsi="Arial" w:cs="Arial"/>
          <w:b w:val="0"/>
          <w:sz w:val="24"/>
          <w:szCs w:val="24"/>
        </w:rPr>
        <w:t xml:space="preserve">Kentucky </w:t>
      </w:r>
    </w:p>
    <w:p w:rsidR="003E07D1" w:rsidRPr="003E07D1" w:rsidRDefault="003E07D1" w:rsidP="003E07D1">
      <w:pPr>
        <w:pStyle w:val="Heading1"/>
        <w:rPr>
          <w:rFonts w:ascii="Arial" w:hAnsi="Arial" w:cs="Arial"/>
          <w:b w:val="0"/>
          <w:sz w:val="24"/>
          <w:szCs w:val="24"/>
        </w:rPr>
      </w:pPr>
      <w:r w:rsidRPr="003E07D1">
        <w:rPr>
          <w:rFonts w:ascii="Arial" w:hAnsi="Arial" w:cs="Arial"/>
          <w:b w:val="0"/>
          <w:sz w:val="24"/>
          <w:szCs w:val="24"/>
        </w:rPr>
        <w:t xml:space="preserve">Texas </w:t>
      </w:r>
    </w:p>
    <w:p w:rsidR="00446DC7" w:rsidRDefault="003E07D1" w:rsidP="003E07D1">
      <w:pPr>
        <w:pStyle w:val="Heading1"/>
        <w:rPr>
          <w:rFonts w:ascii="Arial" w:hAnsi="Arial" w:cs="Arial"/>
          <w:b w:val="0"/>
          <w:sz w:val="24"/>
          <w:szCs w:val="24"/>
        </w:rPr>
      </w:pPr>
      <w:r w:rsidRPr="003E07D1">
        <w:rPr>
          <w:rFonts w:ascii="Arial" w:hAnsi="Arial" w:cs="Arial"/>
          <w:b w:val="0"/>
          <w:sz w:val="24"/>
          <w:szCs w:val="24"/>
        </w:rPr>
        <w:t xml:space="preserve">Oklahoma </w:t>
      </w:r>
    </w:p>
    <w:p w:rsidR="003E07D1" w:rsidRPr="003E07D1" w:rsidRDefault="003E07D1" w:rsidP="003E07D1">
      <w:pPr>
        <w:pStyle w:val="Heading1"/>
        <w:rPr>
          <w:rFonts w:ascii="Arial" w:hAnsi="Arial" w:cs="Arial"/>
          <w:b w:val="0"/>
          <w:sz w:val="24"/>
          <w:szCs w:val="24"/>
        </w:rPr>
      </w:pPr>
      <w:r w:rsidRPr="003E07D1">
        <w:rPr>
          <w:rFonts w:ascii="Arial" w:hAnsi="Arial" w:cs="Arial"/>
          <w:b w:val="0"/>
          <w:sz w:val="24"/>
          <w:szCs w:val="24"/>
        </w:rPr>
        <w:t>Arkansas</w:t>
      </w:r>
    </w:p>
    <w:p w:rsidR="003E07D1" w:rsidRPr="003E07D1" w:rsidRDefault="003E07D1" w:rsidP="003E07D1">
      <w:pPr>
        <w:pStyle w:val="Heading1"/>
        <w:rPr>
          <w:rFonts w:ascii="Arial" w:hAnsi="Arial" w:cs="Arial"/>
          <w:sz w:val="24"/>
          <w:szCs w:val="24"/>
        </w:rPr>
      </w:pPr>
      <w:r w:rsidRPr="003E07D1">
        <w:rPr>
          <w:rFonts w:ascii="Arial" w:hAnsi="Arial" w:cs="Arial"/>
          <w:sz w:val="24"/>
          <w:szCs w:val="24"/>
        </w:rPr>
        <w:t>Middle States</w:t>
      </w:r>
    </w:p>
    <w:p w:rsidR="00446DC7" w:rsidRDefault="00446DC7" w:rsidP="00446DC7">
      <w:pPr>
        <w:pStyle w:val="Heading1"/>
        <w:rPr>
          <w:rFonts w:ascii="Arial" w:hAnsi="Arial" w:cs="Arial"/>
          <w:b w:val="0"/>
          <w:sz w:val="24"/>
          <w:szCs w:val="24"/>
        </w:rPr>
      </w:pPr>
      <w:r w:rsidRPr="00446DC7">
        <w:rPr>
          <w:rFonts w:ascii="Arial" w:hAnsi="Arial" w:cs="Arial"/>
          <w:b w:val="0"/>
          <w:sz w:val="24"/>
          <w:szCs w:val="24"/>
        </w:rPr>
        <w:t xml:space="preserve">Ohio Michigan </w:t>
      </w:r>
    </w:p>
    <w:p w:rsidR="00446DC7" w:rsidRDefault="00446DC7" w:rsidP="00446DC7">
      <w:pPr>
        <w:pStyle w:val="Heading1"/>
        <w:rPr>
          <w:rFonts w:ascii="Arial" w:hAnsi="Arial" w:cs="Arial"/>
          <w:b w:val="0"/>
          <w:sz w:val="24"/>
          <w:szCs w:val="24"/>
        </w:rPr>
      </w:pPr>
      <w:r w:rsidRPr="00446DC7">
        <w:rPr>
          <w:rFonts w:ascii="Arial" w:hAnsi="Arial" w:cs="Arial"/>
          <w:b w:val="0"/>
          <w:sz w:val="24"/>
          <w:szCs w:val="24"/>
        </w:rPr>
        <w:t xml:space="preserve">Wisconsin </w:t>
      </w:r>
    </w:p>
    <w:p w:rsidR="00446DC7" w:rsidRDefault="00446DC7" w:rsidP="00446DC7">
      <w:pPr>
        <w:pStyle w:val="Heading1"/>
        <w:rPr>
          <w:rFonts w:ascii="Arial" w:hAnsi="Arial" w:cs="Arial"/>
          <w:b w:val="0"/>
          <w:sz w:val="24"/>
          <w:szCs w:val="24"/>
        </w:rPr>
      </w:pPr>
      <w:r w:rsidRPr="00446DC7">
        <w:rPr>
          <w:rFonts w:ascii="Arial" w:hAnsi="Arial" w:cs="Arial"/>
          <w:b w:val="0"/>
          <w:sz w:val="24"/>
          <w:szCs w:val="24"/>
        </w:rPr>
        <w:t xml:space="preserve">Minnesota </w:t>
      </w:r>
    </w:p>
    <w:p w:rsidR="00446DC7" w:rsidRDefault="00446DC7" w:rsidP="00446DC7">
      <w:pPr>
        <w:pStyle w:val="Heading1"/>
        <w:rPr>
          <w:rFonts w:ascii="Arial" w:hAnsi="Arial" w:cs="Arial"/>
          <w:b w:val="0"/>
          <w:sz w:val="24"/>
          <w:szCs w:val="24"/>
        </w:rPr>
      </w:pPr>
      <w:r w:rsidRPr="00446DC7">
        <w:rPr>
          <w:rFonts w:ascii="Arial" w:hAnsi="Arial" w:cs="Arial"/>
          <w:b w:val="0"/>
          <w:sz w:val="24"/>
          <w:szCs w:val="24"/>
        </w:rPr>
        <w:t xml:space="preserve">North Dakota </w:t>
      </w:r>
    </w:p>
    <w:p w:rsidR="00446DC7" w:rsidRDefault="00446DC7" w:rsidP="00446DC7">
      <w:pPr>
        <w:pStyle w:val="Heading1"/>
        <w:rPr>
          <w:rFonts w:ascii="Arial" w:hAnsi="Arial" w:cs="Arial"/>
          <w:b w:val="0"/>
          <w:sz w:val="24"/>
          <w:szCs w:val="24"/>
        </w:rPr>
      </w:pPr>
      <w:r w:rsidRPr="00446DC7">
        <w:rPr>
          <w:rFonts w:ascii="Arial" w:hAnsi="Arial" w:cs="Arial"/>
          <w:b w:val="0"/>
          <w:sz w:val="24"/>
          <w:szCs w:val="24"/>
        </w:rPr>
        <w:t xml:space="preserve">South Dakota </w:t>
      </w:r>
    </w:p>
    <w:p w:rsidR="00446DC7" w:rsidRDefault="00446DC7" w:rsidP="00446DC7">
      <w:pPr>
        <w:pStyle w:val="Heading1"/>
        <w:rPr>
          <w:rFonts w:ascii="Arial" w:hAnsi="Arial" w:cs="Arial"/>
          <w:b w:val="0"/>
          <w:sz w:val="24"/>
          <w:szCs w:val="24"/>
        </w:rPr>
      </w:pPr>
      <w:r w:rsidRPr="00446DC7">
        <w:rPr>
          <w:rFonts w:ascii="Arial" w:hAnsi="Arial" w:cs="Arial"/>
          <w:b w:val="0"/>
          <w:sz w:val="24"/>
          <w:szCs w:val="24"/>
        </w:rPr>
        <w:t xml:space="preserve">Nebraska </w:t>
      </w:r>
    </w:p>
    <w:p w:rsidR="00446DC7" w:rsidRDefault="00446DC7" w:rsidP="00446DC7">
      <w:pPr>
        <w:pStyle w:val="Heading1"/>
        <w:rPr>
          <w:rFonts w:ascii="Arial" w:hAnsi="Arial" w:cs="Arial"/>
          <w:b w:val="0"/>
          <w:sz w:val="24"/>
          <w:szCs w:val="24"/>
        </w:rPr>
      </w:pPr>
      <w:r w:rsidRPr="00446DC7">
        <w:rPr>
          <w:rFonts w:ascii="Arial" w:hAnsi="Arial" w:cs="Arial"/>
          <w:b w:val="0"/>
          <w:sz w:val="24"/>
          <w:szCs w:val="24"/>
        </w:rPr>
        <w:t xml:space="preserve">Kansas </w:t>
      </w:r>
    </w:p>
    <w:p w:rsidR="00446DC7" w:rsidRPr="00446DC7" w:rsidRDefault="00446DC7" w:rsidP="00446DC7">
      <w:pPr>
        <w:pStyle w:val="Heading1"/>
        <w:rPr>
          <w:rFonts w:ascii="Arial" w:hAnsi="Arial" w:cs="Arial"/>
          <w:b w:val="0"/>
          <w:sz w:val="24"/>
          <w:szCs w:val="24"/>
        </w:rPr>
      </w:pPr>
      <w:r w:rsidRPr="00446DC7">
        <w:rPr>
          <w:rFonts w:ascii="Arial" w:hAnsi="Arial" w:cs="Arial"/>
          <w:b w:val="0"/>
          <w:sz w:val="24"/>
          <w:szCs w:val="24"/>
        </w:rPr>
        <w:t>Missouri Iowa</w:t>
      </w:r>
    </w:p>
    <w:p w:rsidR="00446DC7" w:rsidRDefault="00446DC7" w:rsidP="00446DC7">
      <w:pPr>
        <w:pStyle w:val="Heading1"/>
        <w:rPr>
          <w:rFonts w:ascii="Arial" w:hAnsi="Arial" w:cs="Arial"/>
          <w:b w:val="0"/>
          <w:sz w:val="24"/>
          <w:szCs w:val="24"/>
        </w:rPr>
      </w:pPr>
      <w:r w:rsidRPr="00446DC7">
        <w:rPr>
          <w:rFonts w:ascii="Arial" w:hAnsi="Arial" w:cs="Arial"/>
          <w:b w:val="0"/>
          <w:sz w:val="24"/>
          <w:szCs w:val="24"/>
        </w:rPr>
        <w:t xml:space="preserve">Indiana </w:t>
      </w:r>
    </w:p>
    <w:p w:rsidR="00446DC7" w:rsidRDefault="00446DC7" w:rsidP="00446DC7">
      <w:pPr>
        <w:pStyle w:val="Heading1"/>
        <w:rPr>
          <w:rFonts w:ascii="Arial" w:hAnsi="Arial" w:cs="Arial"/>
          <w:b w:val="0"/>
          <w:sz w:val="24"/>
          <w:szCs w:val="24"/>
        </w:rPr>
      </w:pPr>
      <w:r w:rsidRPr="00446DC7">
        <w:rPr>
          <w:rFonts w:ascii="Arial" w:hAnsi="Arial" w:cs="Arial"/>
          <w:b w:val="0"/>
          <w:sz w:val="24"/>
          <w:szCs w:val="24"/>
        </w:rPr>
        <w:t>Illinois</w:t>
      </w:r>
    </w:p>
    <w:p w:rsidR="00446DC7" w:rsidRDefault="00446DC7" w:rsidP="00446DC7">
      <w:pPr>
        <w:pStyle w:val="Heading1"/>
        <w:rPr>
          <w:rFonts w:ascii="Arial" w:hAnsi="Arial" w:cs="Arial"/>
          <w:sz w:val="24"/>
          <w:szCs w:val="24"/>
        </w:rPr>
      </w:pPr>
    </w:p>
    <w:p w:rsidR="00446DC7" w:rsidRDefault="00446DC7" w:rsidP="003E07D1">
      <w:pPr>
        <w:pStyle w:val="Heading1"/>
        <w:rPr>
          <w:rFonts w:ascii="Arial" w:hAnsi="Arial" w:cs="Arial"/>
          <w:sz w:val="24"/>
          <w:szCs w:val="24"/>
        </w:rPr>
      </w:pPr>
    </w:p>
    <w:p w:rsidR="00446DC7" w:rsidRDefault="00446DC7" w:rsidP="003E07D1">
      <w:pPr>
        <w:pStyle w:val="Heading1"/>
        <w:rPr>
          <w:rFonts w:ascii="Arial" w:hAnsi="Arial" w:cs="Arial"/>
          <w:sz w:val="24"/>
          <w:szCs w:val="24"/>
        </w:rPr>
      </w:pPr>
    </w:p>
    <w:p w:rsidR="003E07D1" w:rsidRPr="00446DC7" w:rsidRDefault="003E07D1" w:rsidP="003E07D1">
      <w:pPr>
        <w:pStyle w:val="Heading1"/>
        <w:rPr>
          <w:rFonts w:ascii="Arial" w:hAnsi="Arial" w:cs="Arial"/>
          <w:sz w:val="24"/>
          <w:szCs w:val="24"/>
        </w:rPr>
      </w:pPr>
      <w:r w:rsidRPr="00446DC7">
        <w:rPr>
          <w:rFonts w:ascii="Arial" w:hAnsi="Arial" w:cs="Arial"/>
          <w:sz w:val="24"/>
          <w:szCs w:val="24"/>
        </w:rPr>
        <w:t>West</w:t>
      </w:r>
    </w:p>
    <w:p w:rsidR="00446DC7" w:rsidRDefault="003E07D1" w:rsidP="003E07D1">
      <w:pPr>
        <w:pStyle w:val="Heading1"/>
        <w:rPr>
          <w:rFonts w:ascii="Arial" w:hAnsi="Arial" w:cs="Arial"/>
          <w:b w:val="0"/>
          <w:sz w:val="24"/>
          <w:szCs w:val="24"/>
        </w:rPr>
      </w:pPr>
      <w:r w:rsidRPr="00446DC7">
        <w:rPr>
          <w:rFonts w:ascii="Arial" w:hAnsi="Arial" w:cs="Arial"/>
          <w:b w:val="0"/>
          <w:sz w:val="24"/>
          <w:szCs w:val="24"/>
        </w:rPr>
        <w:t xml:space="preserve">Montana </w:t>
      </w:r>
    </w:p>
    <w:p w:rsidR="00446DC7" w:rsidRDefault="003E07D1" w:rsidP="003E07D1">
      <w:pPr>
        <w:pStyle w:val="Heading1"/>
        <w:rPr>
          <w:rFonts w:ascii="Arial" w:hAnsi="Arial" w:cs="Arial"/>
          <w:b w:val="0"/>
          <w:sz w:val="24"/>
          <w:szCs w:val="24"/>
        </w:rPr>
      </w:pPr>
      <w:r w:rsidRPr="00446DC7">
        <w:rPr>
          <w:rFonts w:ascii="Arial" w:hAnsi="Arial" w:cs="Arial"/>
          <w:b w:val="0"/>
          <w:sz w:val="24"/>
          <w:szCs w:val="24"/>
        </w:rPr>
        <w:t xml:space="preserve">Wyoming </w:t>
      </w:r>
    </w:p>
    <w:p w:rsidR="00446DC7" w:rsidRDefault="003E07D1" w:rsidP="003E07D1">
      <w:pPr>
        <w:pStyle w:val="Heading1"/>
        <w:rPr>
          <w:rFonts w:ascii="Arial" w:hAnsi="Arial" w:cs="Arial"/>
          <w:b w:val="0"/>
          <w:sz w:val="24"/>
          <w:szCs w:val="24"/>
        </w:rPr>
      </w:pPr>
      <w:r w:rsidRPr="00446DC7">
        <w:rPr>
          <w:rFonts w:ascii="Arial" w:hAnsi="Arial" w:cs="Arial"/>
          <w:b w:val="0"/>
          <w:sz w:val="24"/>
          <w:szCs w:val="24"/>
        </w:rPr>
        <w:t xml:space="preserve">Colorado </w:t>
      </w:r>
    </w:p>
    <w:p w:rsidR="00446DC7" w:rsidRDefault="003E07D1" w:rsidP="003E07D1">
      <w:pPr>
        <w:pStyle w:val="Heading1"/>
        <w:rPr>
          <w:rFonts w:ascii="Arial" w:hAnsi="Arial" w:cs="Arial"/>
          <w:b w:val="0"/>
          <w:sz w:val="24"/>
          <w:szCs w:val="24"/>
        </w:rPr>
      </w:pPr>
      <w:r w:rsidRPr="00446DC7">
        <w:rPr>
          <w:rFonts w:ascii="Arial" w:hAnsi="Arial" w:cs="Arial"/>
          <w:b w:val="0"/>
          <w:sz w:val="24"/>
          <w:szCs w:val="24"/>
        </w:rPr>
        <w:t xml:space="preserve">New Mexico </w:t>
      </w:r>
    </w:p>
    <w:p w:rsidR="00446DC7" w:rsidRDefault="003E07D1" w:rsidP="003E07D1">
      <w:pPr>
        <w:pStyle w:val="Heading1"/>
        <w:rPr>
          <w:rFonts w:ascii="Arial" w:hAnsi="Arial" w:cs="Arial"/>
          <w:b w:val="0"/>
          <w:sz w:val="24"/>
          <w:szCs w:val="24"/>
        </w:rPr>
      </w:pPr>
      <w:r w:rsidRPr="00446DC7">
        <w:rPr>
          <w:rFonts w:ascii="Arial" w:hAnsi="Arial" w:cs="Arial"/>
          <w:b w:val="0"/>
          <w:sz w:val="24"/>
          <w:szCs w:val="24"/>
        </w:rPr>
        <w:t xml:space="preserve">Arizona </w:t>
      </w:r>
    </w:p>
    <w:p w:rsidR="003E07D1" w:rsidRPr="00446DC7" w:rsidRDefault="003E07D1" w:rsidP="003E07D1">
      <w:pPr>
        <w:pStyle w:val="Heading1"/>
        <w:rPr>
          <w:rFonts w:ascii="Arial" w:hAnsi="Arial" w:cs="Arial"/>
          <w:b w:val="0"/>
          <w:sz w:val="24"/>
          <w:szCs w:val="24"/>
        </w:rPr>
      </w:pPr>
      <w:r w:rsidRPr="00446DC7">
        <w:rPr>
          <w:rFonts w:ascii="Arial" w:hAnsi="Arial" w:cs="Arial"/>
          <w:b w:val="0"/>
          <w:sz w:val="24"/>
          <w:szCs w:val="24"/>
        </w:rPr>
        <w:t>Utah</w:t>
      </w:r>
    </w:p>
    <w:p w:rsidR="00446DC7" w:rsidRDefault="003E07D1" w:rsidP="003E07D1">
      <w:pPr>
        <w:pStyle w:val="Heading1"/>
        <w:rPr>
          <w:rFonts w:ascii="Arial" w:hAnsi="Arial" w:cs="Arial"/>
          <w:b w:val="0"/>
          <w:sz w:val="24"/>
          <w:szCs w:val="24"/>
        </w:rPr>
      </w:pPr>
      <w:r w:rsidRPr="00446DC7">
        <w:rPr>
          <w:rFonts w:ascii="Arial" w:hAnsi="Arial" w:cs="Arial"/>
          <w:b w:val="0"/>
          <w:sz w:val="24"/>
          <w:szCs w:val="24"/>
        </w:rPr>
        <w:t xml:space="preserve">Idaho </w:t>
      </w:r>
    </w:p>
    <w:p w:rsidR="00446DC7" w:rsidRDefault="003E07D1" w:rsidP="003E07D1">
      <w:pPr>
        <w:pStyle w:val="Heading1"/>
        <w:rPr>
          <w:rFonts w:ascii="Arial" w:hAnsi="Arial" w:cs="Arial"/>
          <w:b w:val="0"/>
          <w:sz w:val="24"/>
          <w:szCs w:val="24"/>
        </w:rPr>
      </w:pPr>
      <w:r w:rsidRPr="00446DC7">
        <w:rPr>
          <w:rFonts w:ascii="Arial" w:hAnsi="Arial" w:cs="Arial"/>
          <w:b w:val="0"/>
          <w:sz w:val="24"/>
          <w:szCs w:val="24"/>
        </w:rPr>
        <w:t xml:space="preserve">Nevada </w:t>
      </w:r>
    </w:p>
    <w:p w:rsidR="00446DC7" w:rsidRDefault="003E07D1" w:rsidP="003E07D1">
      <w:pPr>
        <w:pStyle w:val="Heading1"/>
        <w:rPr>
          <w:rFonts w:ascii="Arial" w:hAnsi="Arial" w:cs="Arial"/>
          <w:b w:val="0"/>
          <w:sz w:val="24"/>
          <w:szCs w:val="24"/>
        </w:rPr>
      </w:pPr>
      <w:r w:rsidRPr="00446DC7">
        <w:rPr>
          <w:rFonts w:ascii="Arial" w:hAnsi="Arial" w:cs="Arial"/>
          <w:b w:val="0"/>
          <w:sz w:val="24"/>
          <w:szCs w:val="24"/>
        </w:rPr>
        <w:t xml:space="preserve">Washington </w:t>
      </w:r>
    </w:p>
    <w:p w:rsidR="00446DC7" w:rsidRDefault="003E07D1" w:rsidP="003E07D1">
      <w:pPr>
        <w:pStyle w:val="Heading1"/>
        <w:rPr>
          <w:rFonts w:ascii="Arial" w:hAnsi="Arial" w:cs="Arial"/>
          <w:b w:val="0"/>
          <w:sz w:val="24"/>
          <w:szCs w:val="24"/>
        </w:rPr>
      </w:pPr>
      <w:r w:rsidRPr="00446DC7">
        <w:rPr>
          <w:rFonts w:ascii="Arial" w:hAnsi="Arial" w:cs="Arial"/>
          <w:b w:val="0"/>
          <w:sz w:val="24"/>
          <w:szCs w:val="24"/>
        </w:rPr>
        <w:t xml:space="preserve">Oregon </w:t>
      </w:r>
    </w:p>
    <w:p w:rsidR="00446DC7" w:rsidRDefault="003E07D1" w:rsidP="003E07D1">
      <w:pPr>
        <w:pStyle w:val="Heading1"/>
        <w:rPr>
          <w:rFonts w:ascii="Arial" w:hAnsi="Arial" w:cs="Arial"/>
          <w:b w:val="0"/>
          <w:sz w:val="24"/>
          <w:szCs w:val="24"/>
        </w:rPr>
      </w:pPr>
      <w:r w:rsidRPr="00446DC7">
        <w:rPr>
          <w:rFonts w:ascii="Arial" w:hAnsi="Arial" w:cs="Arial"/>
          <w:b w:val="0"/>
          <w:sz w:val="24"/>
          <w:szCs w:val="24"/>
        </w:rPr>
        <w:t xml:space="preserve">California </w:t>
      </w:r>
    </w:p>
    <w:p w:rsidR="00446DC7" w:rsidRDefault="003E07D1" w:rsidP="003E07D1">
      <w:pPr>
        <w:pStyle w:val="Heading1"/>
        <w:rPr>
          <w:rFonts w:ascii="Arial" w:hAnsi="Arial" w:cs="Arial"/>
          <w:b w:val="0"/>
          <w:sz w:val="24"/>
          <w:szCs w:val="24"/>
        </w:rPr>
      </w:pPr>
      <w:r w:rsidRPr="00446DC7">
        <w:rPr>
          <w:rFonts w:ascii="Arial" w:hAnsi="Arial" w:cs="Arial"/>
          <w:b w:val="0"/>
          <w:sz w:val="24"/>
          <w:szCs w:val="24"/>
        </w:rPr>
        <w:t xml:space="preserve">Alaska </w:t>
      </w:r>
    </w:p>
    <w:p w:rsidR="00446DC7" w:rsidRDefault="003E07D1" w:rsidP="003E07D1">
      <w:pPr>
        <w:pStyle w:val="Heading1"/>
        <w:rPr>
          <w:rFonts w:ascii="Arial" w:hAnsi="Arial" w:cs="Arial"/>
          <w:b w:val="0"/>
          <w:sz w:val="24"/>
          <w:szCs w:val="24"/>
        </w:rPr>
        <w:sectPr w:rsidR="00446DC7" w:rsidSect="00446DC7">
          <w:type w:val="continuous"/>
          <w:pgSz w:w="12240" w:h="15840"/>
          <w:pgMar w:top="1360" w:right="900" w:bottom="280" w:left="1140" w:header="720" w:footer="720" w:gutter="0"/>
          <w:cols w:num="4" w:space="720"/>
        </w:sectPr>
      </w:pPr>
      <w:r w:rsidRPr="00446DC7">
        <w:rPr>
          <w:rFonts w:ascii="Arial" w:hAnsi="Arial" w:cs="Arial"/>
          <w:b w:val="0"/>
          <w:sz w:val="24"/>
          <w:szCs w:val="24"/>
        </w:rPr>
        <w:t>Hawaii</w:t>
      </w:r>
    </w:p>
    <w:p w:rsidR="003E07D1" w:rsidRPr="00446DC7" w:rsidRDefault="003E07D1" w:rsidP="003E07D1">
      <w:pPr>
        <w:pStyle w:val="Heading1"/>
        <w:rPr>
          <w:rFonts w:ascii="Arial" w:hAnsi="Arial" w:cs="Arial"/>
          <w:b w:val="0"/>
          <w:sz w:val="24"/>
          <w:szCs w:val="24"/>
        </w:rPr>
      </w:pPr>
    </w:p>
    <w:p w:rsidR="00446DC7" w:rsidRDefault="00446DC7">
      <w:pPr>
        <w:pStyle w:val="Heading1"/>
        <w:rPr>
          <w:rFonts w:ascii="Arial" w:hAnsi="Arial" w:cs="Arial"/>
          <w:b w:val="0"/>
          <w:sz w:val="24"/>
          <w:szCs w:val="24"/>
        </w:rPr>
      </w:pPr>
    </w:p>
    <w:p w:rsidR="00867B60" w:rsidRPr="00BE2846" w:rsidRDefault="00BC0273">
      <w:pPr>
        <w:pStyle w:val="Heading1"/>
        <w:rPr>
          <w:rFonts w:ascii="Arial" w:hAnsi="Arial" w:cs="Arial"/>
          <w:sz w:val="24"/>
          <w:szCs w:val="24"/>
        </w:rPr>
      </w:pPr>
      <w:r w:rsidRPr="00BE2846">
        <w:rPr>
          <w:rFonts w:ascii="Arial" w:hAnsi="Arial" w:cs="Arial"/>
          <w:sz w:val="24"/>
          <w:szCs w:val="24"/>
        </w:rPr>
        <w:t>Industry Highlights</w:t>
      </w:r>
    </w:p>
    <w:p w:rsidR="00867B60" w:rsidRPr="00BE2846" w:rsidRDefault="00867B60">
      <w:pPr>
        <w:pStyle w:val="BodyText"/>
        <w:spacing w:before="11"/>
        <w:rPr>
          <w:rFonts w:ascii="Arial" w:hAnsi="Arial" w:cs="Arial"/>
          <w:sz w:val="24"/>
          <w:szCs w:val="24"/>
        </w:rPr>
      </w:pPr>
    </w:p>
    <w:p w:rsidR="00867B60" w:rsidRPr="00BE2846" w:rsidRDefault="00BC0273">
      <w:pPr>
        <w:pStyle w:val="BodyText"/>
        <w:spacing w:line="264" w:lineRule="auto"/>
        <w:ind w:left="300" w:right="1439"/>
        <w:rPr>
          <w:rFonts w:ascii="Arial" w:hAnsi="Arial" w:cs="Arial"/>
          <w:sz w:val="24"/>
          <w:szCs w:val="24"/>
        </w:rPr>
      </w:pPr>
      <w:r w:rsidRPr="00BE2846">
        <w:rPr>
          <w:rFonts w:ascii="Arial" w:hAnsi="Arial" w:cs="Arial"/>
          <w:sz w:val="24"/>
          <w:szCs w:val="24"/>
        </w:rPr>
        <w:t>CBI survey participants also identify the approximate percentage of their company’s revenue performed in each of three construction segments/categories. These categories are:</w:t>
      </w:r>
    </w:p>
    <w:p w:rsidR="00867B60" w:rsidRPr="00BE2846" w:rsidRDefault="00867B60">
      <w:pPr>
        <w:pStyle w:val="BodyText"/>
        <w:spacing w:before="8"/>
        <w:rPr>
          <w:rFonts w:ascii="Arial" w:hAnsi="Arial" w:cs="Arial"/>
          <w:sz w:val="24"/>
          <w:szCs w:val="24"/>
        </w:rPr>
      </w:pPr>
    </w:p>
    <w:p w:rsidR="00867B60" w:rsidRDefault="00BC0273" w:rsidP="00BE2846">
      <w:pPr>
        <w:pStyle w:val="BodyText"/>
        <w:spacing w:line="264" w:lineRule="auto"/>
        <w:ind w:left="300" w:right="804"/>
        <w:rPr>
          <w:rFonts w:ascii="Arial" w:hAnsi="Arial" w:cs="Arial"/>
          <w:sz w:val="24"/>
          <w:szCs w:val="24"/>
        </w:rPr>
      </w:pPr>
      <w:r w:rsidRPr="00BE2846">
        <w:rPr>
          <w:rFonts w:ascii="Arial" w:hAnsi="Arial" w:cs="Arial"/>
          <w:sz w:val="24"/>
          <w:szCs w:val="24"/>
          <w:u w:val="single"/>
        </w:rPr>
        <w:t xml:space="preserve">Commercial and Institutional </w:t>
      </w:r>
      <w:r w:rsidRPr="00BE2846">
        <w:rPr>
          <w:rFonts w:ascii="Arial" w:hAnsi="Arial" w:cs="Arial"/>
          <w:sz w:val="24"/>
          <w:szCs w:val="24"/>
        </w:rPr>
        <w:t xml:space="preserve">– </w:t>
      </w:r>
      <w:r w:rsidR="00BE2846" w:rsidRPr="00BE2846">
        <w:rPr>
          <w:rFonts w:ascii="Arial" w:hAnsi="Arial" w:cs="Arial"/>
          <w:sz w:val="24"/>
          <w:szCs w:val="24"/>
        </w:rPr>
        <w:t>Construction related to office space, retail, malls, restaurants, multifamily, mixed use, hotels/convention centers, arenas, stadiums, hospitals, nursing homes, assisted living centers, K–12 schools, colleges/universities, military bases, government research centers, distribution/fulfillment centers, warehouse space, flex space, data centers, etc.</w:t>
      </w:r>
    </w:p>
    <w:p w:rsidR="00BE2846" w:rsidRPr="00BE2846" w:rsidRDefault="00BE2846" w:rsidP="00BE2846">
      <w:pPr>
        <w:pStyle w:val="BodyText"/>
        <w:spacing w:line="264" w:lineRule="auto"/>
        <w:ind w:left="300" w:right="804"/>
        <w:rPr>
          <w:rFonts w:ascii="Arial" w:hAnsi="Arial" w:cs="Arial"/>
          <w:sz w:val="24"/>
          <w:szCs w:val="24"/>
        </w:rPr>
      </w:pPr>
    </w:p>
    <w:p w:rsidR="00B41623" w:rsidRDefault="00B41623" w:rsidP="00B41623">
      <w:pPr>
        <w:pStyle w:val="BodyText"/>
        <w:spacing w:line="264" w:lineRule="auto"/>
        <w:ind w:left="300" w:right="210"/>
        <w:rPr>
          <w:rFonts w:ascii="Arial" w:hAnsi="Arial" w:cs="Arial"/>
          <w:sz w:val="24"/>
          <w:szCs w:val="24"/>
        </w:rPr>
      </w:pPr>
      <w:r w:rsidRPr="00BE2846">
        <w:rPr>
          <w:rFonts w:ascii="Arial" w:hAnsi="Arial" w:cs="Arial"/>
          <w:sz w:val="24"/>
          <w:szCs w:val="24"/>
          <w:u w:val="single"/>
        </w:rPr>
        <w:t xml:space="preserve">Heavy Industrial </w:t>
      </w:r>
      <w:r w:rsidRPr="00BE2846">
        <w:rPr>
          <w:rFonts w:ascii="Arial" w:hAnsi="Arial" w:cs="Arial"/>
          <w:sz w:val="24"/>
          <w:szCs w:val="24"/>
        </w:rPr>
        <w:t xml:space="preserve">– </w:t>
      </w:r>
      <w:r w:rsidR="00BE2846">
        <w:rPr>
          <w:rFonts w:ascii="Arial" w:hAnsi="Arial" w:cs="Arial"/>
          <w:sz w:val="24"/>
          <w:szCs w:val="24"/>
        </w:rPr>
        <w:t>C</w:t>
      </w:r>
      <w:r w:rsidR="00BE2846" w:rsidRPr="00BE2846">
        <w:rPr>
          <w:rFonts w:ascii="Arial" w:hAnsi="Arial" w:cs="Arial"/>
          <w:sz w:val="24"/>
          <w:szCs w:val="24"/>
        </w:rPr>
        <w:t>onstruction related to manufacturing facilities, refineries, agricultural processing plants, automotive factories, cracker facilities, etc.</w:t>
      </w:r>
    </w:p>
    <w:p w:rsidR="00BE2846" w:rsidRPr="00BE2846" w:rsidRDefault="00BE2846" w:rsidP="00B41623">
      <w:pPr>
        <w:pStyle w:val="BodyText"/>
        <w:spacing w:line="264" w:lineRule="auto"/>
        <w:ind w:left="300" w:right="210"/>
        <w:rPr>
          <w:rFonts w:ascii="Arial" w:hAnsi="Arial" w:cs="Arial"/>
          <w:sz w:val="24"/>
          <w:szCs w:val="24"/>
        </w:rPr>
      </w:pPr>
    </w:p>
    <w:p w:rsidR="00867B60" w:rsidRPr="00BE2846" w:rsidRDefault="00BC0273">
      <w:pPr>
        <w:pStyle w:val="BodyText"/>
        <w:spacing w:before="1" w:line="264" w:lineRule="auto"/>
        <w:ind w:left="300"/>
        <w:rPr>
          <w:rFonts w:ascii="Arial" w:hAnsi="Arial" w:cs="Arial"/>
          <w:sz w:val="24"/>
          <w:szCs w:val="24"/>
        </w:rPr>
      </w:pPr>
      <w:r w:rsidRPr="00BE2846">
        <w:rPr>
          <w:rFonts w:ascii="Arial" w:hAnsi="Arial" w:cs="Arial"/>
          <w:sz w:val="24"/>
          <w:szCs w:val="24"/>
          <w:u w:val="single"/>
        </w:rPr>
        <w:t xml:space="preserve">Infrastructure </w:t>
      </w:r>
      <w:r w:rsidRPr="00BE2846">
        <w:rPr>
          <w:rFonts w:ascii="Arial" w:hAnsi="Arial" w:cs="Arial"/>
          <w:sz w:val="24"/>
          <w:szCs w:val="24"/>
        </w:rPr>
        <w:t xml:space="preserve">– </w:t>
      </w:r>
      <w:r w:rsidR="00BE2846" w:rsidRPr="00BE2846">
        <w:rPr>
          <w:rFonts w:ascii="Arial" w:hAnsi="Arial" w:cs="Arial"/>
          <w:sz w:val="24"/>
          <w:szCs w:val="24"/>
        </w:rPr>
        <w:t>Construction related to supply of water, wastewater disposition, power generation/distribution, roads/highways/bridges, ports, telecommunications infrastructure, etc.</w:t>
      </w:r>
      <w:bookmarkStart w:id="0" w:name="_GoBack"/>
      <w:bookmarkEnd w:id="0"/>
    </w:p>
    <w:p w:rsidR="00867B60" w:rsidRPr="00BE2846" w:rsidRDefault="00867B60">
      <w:pPr>
        <w:pStyle w:val="BodyText"/>
        <w:spacing w:before="8"/>
        <w:rPr>
          <w:rFonts w:ascii="Arial" w:hAnsi="Arial" w:cs="Arial"/>
          <w:sz w:val="24"/>
          <w:szCs w:val="24"/>
        </w:rPr>
      </w:pPr>
    </w:p>
    <w:p w:rsidR="00867B60" w:rsidRPr="00BE2846" w:rsidRDefault="00867B60">
      <w:pPr>
        <w:pStyle w:val="BodyText"/>
        <w:spacing w:before="6"/>
        <w:rPr>
          <w:rFonts w:ascii="Arial" w:hAnsi="Arial" w:cs="Arial"/>
          <w:sz w:val="24"/>
          <w:szCs w:val="24"/>
        </w:rPr>
      </w:pPr>
    </w:p>
    <w:p w:rsidR="00095F37" w:rsidRDefault="00095F37">
      <w:pPr>
        <w:pStyle w:val="Heading1"/>
        <w:rPr>
          <w:rFonts w:ascii="Arial" w:hAnsi="Arial" w:cs="Arial"/>
          <w:sz w:val="24"/>
          <w:szCs w:val="24"/>
        </w:rPr>
      </w:pPr>
    </w:p>
    <w:p w:rsidR="00095F37" w:rsidRDefault="00095F37">
      <w:pPr>
        <w:pStyle w:val="Heading1"/>
        <w:rPr>
          <w:rFonts w:ascii="Arial" w:hAnsi="Arial" w:cs="Arial"/>
          <w:sz w:val="24"/>
          <w:szCs w:val="24"/>
        </w:rPr>
      </w:pPr>
    </w:p>
    <w:p w:rsidR="00095F37" w:rsidRDefault="00095F37">
      <w:pPr>
        <w:pStyle w:val="Heading1"/>
        <w:rPr>
          <w:rFonts w:ascii="Arial" w:hAnsi="Arial" w:cs="Arial"/>
          <w:sz w:val="24"/>
          <w:szCs w:val="24"/>
        </w:rPr>
      </w:pPr>
    </w:p>
    <w:p w:rsidR="00095F37" w:rsidRDefault="00095F37">
      <w:pPr>
        <w:pStyle w:val="Heading1"/>
        <w:rPr>
          <w:rFonts w:ascii="Arial" w:hAnsi="Arial" w:cs="Arial"/>
          <w:sz w:val="24"/>
          <w:szCs w:val="24"/>
        </w:rPr>
      </w:pPr>
    </w:p>
    <w:p w:rsidR="00095F37" w:rsidRDefault="00095F37">
      <w:pPr>
        <w:pStyle w:val="Heading1"/>
        <w:rPr>
          <w:rFonts w:ascii="Arial" w:hAnsi="Arial" w:cs="Arial"/>
          <w:sz w:val="24"/>
          <w:szCs w:val="24"/>
        </w:rPr>
      </w:pPr>
    </w:p>
    <w:p w:rsidR="00095F37" w:rsidRDefault="00095F37">
      <w:pPr>
        <w:pStyle w:val="Heading1"/>
        <w:rPr>
          <w:rFonts w:ascii="Arial" w:hAnsi="Arial" w:cs="Arial"/>
          <w:sz w:val="24"/>
          <w:szCs w:val="24"/>
        </w:rPr>
      </w:pPr>
    </w:p>
    <w:p w:rsidR="00095F37" w:rsidRDefault="00095F37">
      <w:pPr>
        <w:pStyle w:val="Heading1"/>
        <w:rPr>
          <w:rFonts w:ascii="Arial" w:hAnsi="Arial" w:cs="Arial"/>
          <w:sz w:val="24"/>
          <w:szCs w:val="24"/>
        </w:rPr>
      </w:pPr>
    </w:p>
    <w:p w:rsidR="00867B60" w:rsidRPr="00BE2846" w:rsidRDefault="00BC0273">
      <w:pPr>
        <w:pStyle w:val="Heading1"/>
        <w:rPr>
          <w:rFonts w:ascii="Arial" w:hAnsi="Arial" w:cs="Arial"/>
          <w:sz w:val="24"/>
          <w:szCs w:val="24"/>
        </w:rPr>
      </w:pPr>
      <w:r w:rsidRPr="00BE2846">
        <w:rPr>
          <w:rFonts w:ascii="Arial" w:hAnsi="Arial" w:cs="Arial"/>
          <w:sz w:val="24"/>
          <w:szCs w:val="24"/>
        </w:rPr>
        <w:t>Company Revenue Highlights</w:t>
      </w:r>
    </w:p>
    <w:p w:rsidR="00867B60" w:rsidRPr="00BE2846" w:rsidRDefault="00867B60">
      <w:pPr>
        <w:pStyle w:val="BodyText"/>
        <w:spacing w:before="9"/>
        <w:rPr>
          <w:rFonts w:ascii="Arial" w:hAnsi="Arial" w:cs="Arial"/>
          <w:b/>
          <w:sz w:val="24"/>
          <w:szCs w:val="24"/>
        </w:rPr>
      </w:pPr>
    </w:p>
    <w:p w:rsidR="00867B60" w:rsidRDefault="00BC0273">
      <w:pPr>
        <w:pStyle w:val="BodyText"/>
        <w:spacing w:line="264" w:lineRule="auto"/>
        <w:ind w:left="300" w:right="210"/>
        <w:rPr>
          <w:rFonts w:ascii="Arial" w:hAnsi="Arial" w:cs="Arial"/>
          <w:sz w:val="24"/>
          <w:szCs w:val="24"/>
        </w:rPr>
      </w:pPr>
      <w:r w:rsidRPr="00BE2846">
        <w:rPr>
          <w:rFonts w:ascii="Arial" w:hAnsi="Arial" w:cs="Arial"/>
          <w:sz w:val="24"/>
          <w:szCs w:val="24"/>
        </w:rPr>
        <w:t>CBI survey participants are asked to provide information regarding their company’s annual revenues. Using this data, firms are then placed into one of five revenue categories:</w:t>
      </w:r>
    </w:p>
    <w:p w:rsidR="003E07D1" w:rsidRDefault="003E07D1">
      <w:pPr>
        <w:pStyle w:val="BodyText"/>
        <w:spacing w:line="264" w:lineRule="auto"/>
        <w:ind w:left="300" w:right="210"/>
        <w:rPr>
          <w:rFonts w:ascii="Arial" w:hAnsi="Arial" w:cs="Arial"/>
          <w:sz w:val="24"/>
          <w:szCs w:val="24"/>
        </w:rPr>
      </w:pPr>
    </w:p>
    <w:p w:rsidR="003E07D1" w:rsidRPr="003E07D1" w:rsidRDefault="003E07D1" w:rsidP="00BE2846">
      <w:pPr>
        <w:pStyle w:val="BodyText"/>
        <w:spacing w:line="264" w:lineRule="auto"/>
        <w:ind w:left="300" w:right="210"/>
        <w:jc w:val="center"/>
        <w:rPr>
          <w:rFonts w:ascii="Arial" w:hAnsi="Arial" w:cs="Arial"/>
          <w:sz w:val="24"/>
          <w:szCs w:val="24"/>
        </w:rPr>
      </w:pPr>
      <w:r w:rsidRPr="003E07D1">
        <w:rPr>
          <w:rFonts w:ascii="Arial" w:hAnsi="Arial" w:cs="Arial"/>
          <w:sz w:val="24"/>
          <w:szCs w:val="24"/>
        </w:rPr>
        <w:t>Less than $30 million;</w:t>
      </w:r>
    </w:p>
    <w:p w:rsidR="003E07D1" w:rsidRPr="003E07D1" w:rsidRDefault="003E07D1" w:rsidP="00BE2846">
      <w:pPr>
        <w:pStyle w:val="BodyText"/>
        <w:spacing w:line="264" w:lineRule="auto"/>
        <w:ind w:left="300" w:right="210"/>
        <w:jc w:val="center"/>
        <w:rPr>
          <w:rFonts w:ascii="Arial" w:hAnsi="Arial" w:cs="Arial"/>
          <w:sz w:val="24"/>
          <w:szCs w:val="24"/>
        </w:rPr>
      </w:pPr>
      <w:r w:rsidRPr="003E07D1">
        <w:rPr>
          <w:rFonts w:ascii="Arial" w:hAnsi="Arial" w:cs="Arial"/>
          <w:sz w:val="24"/>
          <w:szCs w:val="24"/>
        </w:rPr>
        <w:t>$30 million-$50 million;</w:t>
      </w:r>
    </w:p>
    <w:p w:rsidR="003E07D1" w:rsidRPr="003E07D1" w:rsidRDefault="003E07D1" w:rsidP="00BE2846">
      <w:pPr>
        <w:pStyle w:val="BodyText"/>
        <w:spacing w:line="264" w:lineRule="auto"/>
        <w:ind w:left="300" w:right="210"/>
        <w:jc w:val="center"/>
        <w:rPr>
          <w:rFonts w:ascii="Arial" w:hAnsi="Arial" w:cs="Arial"/>
          <w:sz w:val="24"/>
          <w:szCs w:val="24"/>
        </w:rPr>
      </w:pPr>
      <w:r w:rsidRPr="003E07D1">
        <w:rPr>
          <w:rFonts w:ascii="Arial" w:hAnsi="Arial" w:cs="Arial"/>
          <w:sz w:val="24"/>
          <w:szCs w:val="24"/>
        </w:rPr>
        <w:t>$50 million-$75 million;</w:t>
      </w:r>
    </w:p>
    <w:p w:rsidR="003E07D1" w:rsidRDefault="003E07D1" w:rsidP="00BE2846">
      <w:pPr>
        <w:pStyle w:val="BodyText"/>
        <w:spacing w:line="264" w:lineRule="auto"/>
        <w:ind w:left="300" w:right="210"/>
        <w:jc w:val="center"/>
        <w:rPr>
          <w:rFonts w:ascii="Arial" w:hAnsi="Arial" w:cs="Arial"/>
          <w:sz w:val="24"/>
          <w:szCs w:val="24"/>
        </w:rPr>
      </w:pPr>
      <w:r w:rsidRPr="003E07D1">
        <w:rPr>
          <w:rFonts w:ascii="Arial" w:hAnsi="Arial" w:cs="Arial"/>
          <w:sz w:val="24"/>
          <w:szCs w:val="24"/>
        </w:rPr>
        <w:t>$75 million-$100 million;</w:t>
      </w:r>
    </w:p>
    <w:p w:rsidR="003E07D1" w:rsidRPr="00BE2846" w:rsidRDefault="003E07D1" w:rsidP="00BE2846">
      <w:pPr>
        <w:pStyle w:val="BodyText"/>
        <w:spacing w:line="264" w:lineRule="auto"/>
        <w:ind w:left="300" w:right="210"/>
        <w:jc w:val="center"/>
        <w:rPr>
          <w:rFonts w:ascii="Arial" w:hAnsi="Arial" w:cs="Arial"/>
          <w:sz w:val="24"/>
          <w:szCs w:val="24"/>
        </w:rPr>
      </w:pPr>
      <w:r w:rsidRPr="003E07D1">
        <w:rPr>
          <w:rFonts w:ascii="Arial" w:hAnsi="Arial" w:cs="Arial"/>
          <w:sz w:val="24"/>
          <w:szCs w:val="24"/>
        </w:rPr>
        <w:t>More than $100 million.</w:t>
      </w:r>
    </w:p>
    <w:p w:rsidR="00867B60" w:rsidRPr="00BE2846" w:rsidRDefault="00867B60">
      <w:pPr>
        <w:pStyle w:val="BodyText"/>
        <w:spacing w:before="1"/>
        <w:rPr>
          <w:rFonts w:ascii="Arial" w:hAnsi="Arial" w:cs="Arial"/>
          <w:sz w:val="24"/>
          <w:szCs w:val="24"/>
        </w:rPr>
      </w:pPr>
    </w:p>
    <w:p w:rsidR="00867B60" w:rsidRPr="00BE2846" w:rsidRDefault="00867B60" w:rsidP="00BE2846">
      <w:pPr>
        <w:pStyle w:val="BodyText"/>
        <w:ind w:left="3804" w:right="4106"/>
        <w:jc w:val="center"/>
        <w:rPr>
          <w:rFonts w:ascii="Arial" w:hAnsi="Arial" w:cs="Arial"/>
          <w:sz w:val="24"/>
          <w:szCs w:val="24"/>
        </w:rPr>
      </w:pPr>
    </w:p>
    <w:sectPr w:rsidR="00867B60" w:rsidRPr="00BE2846" w:rsidSect="00446DC7">
      <w:type w:val="continuous"/>
      <w:pgSz w:w="12240" w:h="15840"/>
      <w:pgMar w:top="1360" w:right="900" w:bottom="280" w:left="1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2A4" w:rsidRDefault="00E772A4" w:rsidP="00461974">
      <w:r>
        <w:separator/>
      </w:r>
    </w:p>
  </w:endnote>
  <w:endnote w:type="continuationSeparator" w:id="0">
    <w:p w:rsidR="00E772A4" w:rsidRDefault="00E772A4" w:rsidP="00461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511987"/>
      <w:docPartObj>
        <w:docPartGallery w:val="Page Numbers (Bottom of Page)"/>
        <w:docPartUnique/>
      </w:docPartObj>
    </w:sdtPr>
    <w:sdtEndPr>
      <w:rPr>
        <w:noProof/>
      </w:rPr>
    </w:sdtEndPr>
    <w:sdtContent>
      <w:p w:rsidR="00461974" w:rsidRDefault="00461974">
        <w:pPr>
          <w:pStyle w:val="Footer"/>
          <w:jc w:val="right"/>
        </w:pPr>
        <w:r>
          <w:fldChar w:fldCharType="begin"/>
        </w:r>
        <w:r>
          <w:instrText xml:space="preserve"> PAGE   \* MERGEFORMAT </w:instrText>
        </w:r>
        <w:r>
          <w:fldChar w:fldCharType="separate"/>
        </w:r>
        <w:r w:rsidR="00B53C30">
          <w:rPr>
            <w:noProof/>
          </w:rPr>
          <w:t>1</w:t>
        </w:r>
        <w:r>
          <w:rPr>
            <w:noProof/>
          </w:rPr>
          <w:fldChar w:fldCharType="end"/>
        </w:r>
      </w:p>
    </w:sdtContent>
  </w:sdt>
  <w:p w:rsidR="00461974" w:rsidRDefault="004619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2A4" w:rsidRDefault="00E772A4" w:rsidP="00461974">
      <w:r>
        <w:separator/>
      </w:r>
    </w:p>
  </w:footnote>
  <w:footnote w:type="continuationSeparator" w:id="0">
    <w:p w:rsidR="00E772A4" w:rsidRDefault="00E772A4" w:rsidP="004619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B60"/>
    <w:rsid w:val="00095F37"/>
    <w:rsid w:val="003E07D1"/>
    <w:rsid w:val="00446DC7"/>
    <w:rsid w:val="00461974"/>
    <w:rsid w:val="00712B26"/>
    <w:rsid w:val="00867B60"/>
    <w:rsid w:val="00B41623"/>
    <w:rsid w:val="00B53C30"/>
    <w:rsid w:val="00BC0273"/>
    <w:rsid w:val="00BE2846"/>
    <w:rsid w:val="00CA4554"/>
    <w:rsid w:val="00D20B49"/>
    <w:rsid w:val="00D86BC0"/>
    <w:rsid w:val="00E77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BB429"/>
  <w15:docId w15:val="{1ECD3AC7-85F5-4143-8E47-CD71123A7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ind w:left="300"/>
      <w:outlineLvl w:val="0"/>
    </w:pPr>
    <w:rPr>
      <w:b/>
      <w:bCs/>
    </w:rPr>
  </w:style>
  <w:style w:type="paragraph" w:styleId="Heading2">
    <w:name w:val="heading 2"/>
    <w:basedOn w:val="Normal"/>
    <w:uiPriority w:val="1"/>
    <w:qFormat/>
    <w:pPr>
      <w:ind w:left="107" w:right="231"/>
      <w:jc w:val="center"/>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200"/>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41623"/>
    <w:rPr>
      <w:rFonts w:ascii="Tahoma" w:hAnsi="Tahoma" w:cs="Tahoma"/>
      <w:sz w:val="16"/>
      <w:szCs w:val="16"/>
    </w:rPr>
  </w:style>
  <w:style w:type="character" w:customStyle="1" w:styleId="BalloonTextChar">
    <w:name w:val="Balloon Text Char"/>
    <w:basedOn w:val="DefaultParagraphFont"/>
    <w:link w:val="BalloonText"/>
    <w:uiPriority w:val="99"/>
    <w:semiHidden/>
    <w:rsid w:val="00B41623"/>
    <w:rPr>
      <w:rFonts w:ascii="Tahoma" w:eastAsia="Verdana" w:hAnsi="Tahoma" w:cs="Tahoma"/>
      <w:sz w:val="16"/>
      <w:szCs w:val="16"/>
    </w:rPr>
  </w:style>
  <w:style w:type="paragraph" w:styleId="Header">
    <w:name w:val="header"/>
    <w:basedOn w:val="Normal"/>
    <w:link w:val="HeaderChar"/>
    <w:uiPriority w:val="99"/>
    <w:unhideWhenUsed/>
    <w:rsid w:val="00461974"/>
    <w:pPr>
      <w:tabs>
        <w:tab w:val="center" w:pos="4680"/>
        <w:tab w:val="right" w:pos="9360"/>
      </w:tabs>
    </w:pPr>
  </w:style>
  <w:style w:type="character" w:customStyle="1" w:styleId="HeaderChar">
    <w:name w:val="Header Char"/>
    <w:basedOn w:val="DefaultParagraphFont"/>
    <w:link w:val="Header"/>
    <w:uiPriority w:val="99"/>
    <w:rsid w:val="00461974"/>
    <w:rPr>
      <w:rFonts w:ascii="Verdana" w:eastAsia="Verdana" w:hAnsi="Verdana" w:cs="Verdana"/>
    </w:rPr>
  </w:style>
  <w:style w:type="paragraph" w:styleId="Footer">
    <w:name w:val="footer"/>
    <w:basedOn w:val="Normal"/>
    <w:link w:val="FooterChar"/>
    <w:uiPriority w:val="99"/>
    <w:unhideWhenUsed/>
    <w:rsid w:val="00461974"/>
    <w:pPr>
      <w:tabs>
        <w:tab w:val="center" w:pos="4680"/>
        <w:tab w:val="right" w:pos="9360"/>
      </w:tabs>
    </w:pPr>
  </w:style>
  <w:style w:type="character" w:customStyle="1" w:styleId="FooterChar">
    <w:name w:val="Footer Char"/>
    <w:basedOn w:val="DefaultParagraphFont"/>
    <w:link w:val="Footer"/>
    <w:uiPriority w:val="99"/>
    <w:rsid w:val="00461974"/>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Kinsey Cooper</dc:creator>
  <cp:lastModifiedBy>Donna Reichle</cp:lastModifiedBy>
  <cp:revision>2</cp:revision>
  <dcterms:created xsi:type="dcterms:W3CDTF">2018-05-16T18:50:00Z</dcterms:created>
  <dcterms:modified xsi:type="dcterms:W3CDTF">2018-05-16T18:50:00Z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2014-12-02T00:00:00Z</vt:filetime>
  </property>
  <property fmtid="{D5CDD505-2E9C-101B-9397-08002B2CF9AE}" pid="3" name="Creator">
    <vt:lpwstr>Microsoft® Word 2010</vt:lpwstr>
  </property>
  <property fmtid="{D5CDD505-2E9C-101B-9397-08002B2CF9AE}" pid="4" name="LastSaved">
    <vt:filetime>2018-04-05T00:00:00Z</vt:filetime>
  </property>
</Properties>
</file>