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theme/themeOverride1.xml" ContentType="application/vnd.openxmlformats-officedocument.themeOverrid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theme/themeOverride2.xml" ContentType="application/vnd.openxmlformats-officedocument.themeOverrid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theme/themeOverride3.xml" ContentType="application/vnd.openxmlformats-officedocument.themeOverride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drawings/drawing31.xml" ContentType="application/vnd.openxmlformats-officedocument.drawingml.chartshapes+xml"/>
  <Override PartName="/word/charts/chart32.xml" ContentType="application/vnd.openxmlformats-officedocument.drawingml.chart+xml"/>
  <Override PartName="/word/drawings/drawing32.xml" ContentType="application/vnd.openxmlformats-officedocument.drawingml.chartshapes+xml"/>
  <Override PartName="/word/charts/chart33.xml" ContentType="application/vnd.openxmlformats-officedocument.drawingml.chart+xml"/>
  <Override PartName="/word/drawings/drawing3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</w:t>
      </w:r>
      <w:r w:rsidR="00AE6E30">
        <w:rPr>
          <w:szCs w:val="28"/>
        </w:rPr>
        <w:t>2</w:t>
      </w:r>
      <w:r w:rsidR="00D15BC0">
        <w:rPr>
          <w:szCs w:val="28"/>
        </w:rPr>
        <w:t xml:space="preserve"> 201</w:t>
      </w:r>
      <w:r w:rsidR="00F276C0">
        <w:rPr>
          <w:szCs w:val="28"/>
        </w:rPr>
        <w:t>8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</w:t>
      </w:r>
      <w:r w:rsidR="00AE6E30">
        <w:rPr>
          <w:sz w:val="22"/>
          <w:szCs w:val="22"/>
        </w:rPr>
        <w:t>7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="009F338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1</w:t>
      </w:r>
      <w:r w:rsidR="00AE6E30">
        <w:rPr>
          <w:sz w:val="22"/>
          <w:szCs w:val="22"/>
        </w:rPr>
        <w:t>9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="00AE6E30">
        <w:rPr>
          <w:sz w:val="22"/>
          <w:szCs w:val="22"/>
        </w:rPr>
        <w:t>20</w:t>
      </w:r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8.61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91117C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1117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91117C" w:rsidRDefault="0091117C" w:rsidP="0091117C">
            <w:pPr>
              <w:jc w:val="center"/>
              <w:rPr>
                <w:sz w:val="21"/>
              </w:rPr>
            </w:pPr>
            <w:r w:rsidRPr="0091117C">
              <w:rPr>
                <w:sz w:val="21"/>
              </w:rPr>
              <w:t>9.45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9.67</w:t>
            </w:r>
          </w:p>
        </w:tc>
      </w:tr>
      <w:tr w:rsidR="00521293" w:rsidRPr="000608CD" w:rsidTr="006075B5">
        <w:trPr>
          <w:trHeight w:val="179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F276C0" w:rsidP="00F276C0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F276C0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8.80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4465C8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4465C8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9.87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  <w:tr w:rsidR="00E13D66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8.39</w:t>
            </w:r>
          </w:p>
        </w:tc>
        <w:tc>
          <w:tcPr>
            <w:tcW w:w="247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5.50</w:t>
            </w:r>
          </w:p>
        </w:tc>
        <w:tc>
          <w:tcPr>
            <w:tcW w:w="2377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11.66</w:t>
            </w:r>
          </w:p>
        </w:tc>
      </w:tr>
      <w:tr w:rsidR="0091117C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9.31</w:t>
            </w:r>
          </w:p>
        </w:tc>
        <w:tc>
          <w:tcPr>
            <w:tcW w:w="247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5.46</w:t>
            </w:r>
          </w:p>
        </w:tc>
        <w:tc>
          <w:tcPr>
            <w:tcW w:w="2377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12.53</w:t>
            </w:r>
          </w:p>
        </w:tc>
      </w:tr>
      <w:tr w:rsidR="00974A5D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10.07</w:t>
            </w:r>
          </w:p>
        </w:tc>
        <w:tc>
          <w:tcPr>
            <w:tcW w:w="247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5.17</w:t>
            </w:r>
          </w:p>
        </w:tc>
        <w:tc>
          <w:tcPr>
            <w:tcW w:w="2377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12.55</w:t>
            </w:r>
          </w:p>
        </w:tc>
      </w:tr>
      <w:tr w:rsidR="00F276C0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F276C0" w:rsidRPr="00F276C0" w:rsidRDefault="00F276C0" w:rsidP="00F276C0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2758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9.18</w:t>
            </w:r>
          </w:p>
        </w:tc>
        <w:tc>
          <w:tcPr>
            <w:tcW w:w="2470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5.87</w:t>
            </w:r>
          </w:p>
        </w:tc>
        <w:tc>
          <w:tcPr>
            <w:tcW w:w="2377" w:type="dxa"/>
            <w:vAlign w:val="bottom"/>
          </w:tcPr>
          <w:p w:rsidR="00F276C0" w:rsidRPr="00F276C0" w:rsidRDefault="00F276C0" w:rsidP="00F276C0">
            <w:pPr>
              <w:jc w:val="center"/>
            </w:pPr>
            <w:r w:rsidRPr="00F276C0">
              <w:t>10.01</w:t>
            </w:r>
          </w:p>
        </w:tc>
      </w:tr>
      <w:tr w:rsidR="004465C8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4465C8" w:rsidRPr="00F276C0" w:rsidRDefault="004465C8" w:rsidP="004465C8">
            <w:pPr>
              <w:jc w:val="right"/>
            </w:pPr>
            <w:r w:rsidRPr="004465C8">
              <w:t>2</w:t>
            </w:r>
            <w:r w:rsidRPr="004465C8">
              <w:rPr>
                <w:vertAlign w:val="superscript"/>
              </w:rPr>
              <w:t>nd</w:t>
            </w:r>
            <w:r w:rsidRPr="004465C8">
              <w:t xml:space="preserve"> Quarter, 2018</w:t>
            </w:r>
          </w:p>
        </w:tc>
        <w:tc>
          <w:tcPr>
            <w:tcW w:w="2758" w:type="dxa"/>
            <w:vAlign w:val="bottom"/>
          </w:tcPr>
          <w:p w:rsidR="004465C8" w:rsidRPr="002E18F8" w:rsidRDefault="004465C8" w:rsidP="002E18F8">
            <w:pPr>
              <w:jc w:val="center"/>
            </w:pPr>
            <w:r w:rsidRPr="002E18F8">
              <w:t>10.11</w:t>
            </w:r>
          </w:p>
        </w:tc>
        <w:tc>
          <w:tcPr>
            <w:tcW w:w="2470" w:type="dxa"/>
            <w:vAlign w:val="bottom"/>
          </w:tcPr>
          <w:p w:rsidR="004465C8" w:rsidRPr="002E18F8" w:rsidRDefault="004465C8" w:rsidP="002E18F8">
            <w:pPr>
              <w:jc w:val="center"/>
            </w:pPr>
            <w:r w:rsidRPr="002E18F8">
              <w:t>7.81</w:t>
            </w:r>
          </w:p>
        </w:tc>
        <w:tc>
          <w:tcPr>
            <w:tcW w:w="2377" w:type="dxa"/>
            <w:vAlign w:val="bottom"/>
          </w:tcPr>
          <w:p w:rsidR="004465C8" w:rsidRPr="002E18F8" w:rsidRDefault="004465C8" w:rsidP="002E18F8">
            <w:pPr>
              <w:jc w:val="center"/>
            </w:pPr>
            <w:r w:rsidRPr="002E18F8">
              <w:t>10.06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lastRenderedPageBreak/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  <w:tr w:rsidR="00E13D6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9.70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9.01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7.91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6.82</w:t>
            </w:r>
          </w:p>
        </w:tc>
      </w:tr>
      <w:tr w:rsidR="0091117C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10.21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11.32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7.61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6.61</w:t>
            </w:r>
          </w:p>
        </w:tc>
      </w:tr>
      <w:tr w:rsidR="00974A5D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974A5D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10.99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8.33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6.97</w:t>
            </w:r>
          </w:p>
        </w:tc>
      </w:tr>
      <w:tr w:rsidR="00F276C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F276C0" w:rsidRDefault="00F276C0" w:rsidP="00F276C0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9.53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10.12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F276C0" w:rsidRPr="00BD59B4" w:rsidRDefault="00BD59B4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7.28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F276C0" w:rsidRPr="00BD59B4" w:rsidRDefault="00F276C0" w:rsidP="00BD59B4">
            <w:pPr>
              <w:jc w:val="center"/>
              <w:rPr>
                <w:bCs/>
              </w:rPr>
            </w:pPr>
            <w:r w:rsidRPr="00BD59B4">
              <w:rPr>
                <w:bCs/>
              </w:rPr>
              <w:t>8.</w:t>
            </w:r>
            <w:r w:rsidR="00BD59B4" w:rsidRPr="00BD59B4">
              <w:rPr>
                <w:bCs/>
              </w:rPr>
              <w:t>33</w:t>
            </w:r>
          </w:p>
        </w:tc>
      </w:tr>
      <w:tr w:rsidR="004465C8" w:rsidRPr="00BB04B1" w:rsidTr="004465C8">
        <w:trPr>
          <w:trHeight w:val="85"/>
        </w:trPr>
        <w:tc>
          <w:tcPr>
            <w:tcW w:w="2095" w:type="dxa"/>
            <w:shd w:val="clear" w:color="auto" w:fill="auto"/>
            <w:noWrap/>
            <w:vAlign w:val="center"/>
          </w:tcPr>
          <w:p w:rsidR="004465C8" w:rsidRPr="004465C8" w:rsidRDefault="004465C8" w:rsidP="004465C8">
            <w:pPr>
              <w:jc w:val="right"/>
            </w:pPr>
            <w:r w:rsidRPr="004465C8">
              <w:t>2</w:t>
            </w:r>
            <w:r w:rsidRPr="004465C8">
              <w:rPr>
                <w:vertAlign w:val="superscript"/>
              </w:rPr>
              <w:t>nd</w:t>
            </w:r>
            <w:r w:rsidRPr="004465C8">
              <w:t xml:space="preserve"> Quarter, 2018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10.69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</w:r>
      <w:r>
        <w:lastRenderedPageBreak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  <w:tr w:rsidR="00E13D66" w:rsidRPr="00BB04B1" w:rsidTr="0030004C">
        <w:trPr>
          <w:trHeight w:val="242"/>
        </w:trPr>
        <w:tc>
          <w:tcPr>
            <w:tcW w:w="2025" w:type="dxa"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7.52</w:t>
            </w:r>
          </w:p>
        </w:tc>
        <w:tc>
          <w:tcPr>
            <w:tcW w:w="1814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10.90</w:t>
            </w:r>
          </w:p>
        </w:tc>
        <w:tc>
          <w:tcPr>
            <w:tcW w:w="180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9.20</w:t>
            </w:r>
          </w:p>
        </w:tc>
        <w:tc>
          <w:tcPr>
            <w:tcW w:w="189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11.11</w:t>
            </w:r>
          </w:p>
        </w:tc>
      </w:tr>
      <w:tr w:rsidR="0091117C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7.74</w:t>
            </w:r>
          </w:p>
        </w:tc>
        <w:tc>
          <w:tcPr>
            <w:tcW w:w="1814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11.37</w:t>
            </w:r>
          </w:p>
        </w:tc>
        <w:tc>
          <w:tcPr>
            <w:tcW w:w="180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11.55</w:t>
            </w:r>
          </w:p>
        </w:tc>
        <w:tc>
          <w:tcPr>
            <w:tcW w:w="189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13.81</w:t>
            </w:r>
          </w:p>
        </w:tc>
      </w:tr>
      <w:tr w:rsidR="00974A5D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7.77</w:t>
            </w:r>
          </w:p>
        </w:tc>
        <w:tc>
          <w:tcPr>
            <w:tcW w:w="1814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11.89</w:t>
            </w:r>
          </w:p>
        </w:tc>
        <w:tc>
          <w:tcPr>
            <w:tcW w:w="180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10.73</w:t>
            </w:r>
          </w:p>
        </w:tc>
        <w:tc>
          <w:tcPr>
            <w:tcW w:w="189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14.58</w:t>
            </w:r>
          </w:p>
        </w:tc>
      </w:tr>
      <w:tr w:rsidR="00BD59B4" w:rsidRPr="00BB04B1" w:rsidTr="0030004C">
        <w:trPr>
          <w:trHeight w:val="242"/>
        </w:trPr>
        <w:tc>
          <w:tcPr>
            <w:tcW w:w="2025" w:type="dxa"/>
            <w:vAlign w:val="bottom"/>
          </w:tcPr>
          <w:p w:rsidR="00BD59B4" w:rsidRDefault="00BD59B4" w:rsidP="00BD59B4">
            <w:pPr>
              <w:jc w:val="right"/>
            </w:pPr>
            <w:r w:rsidRPr="00F276C0">
              <w:t>1</w:t>
            </w:r>
            <w:r w:rsidRPr="00F276C0">
              <w:rPr>
                <w:vertAlign w:val="superscript"/>
              </w:rPr>
              <w:t xml:space="preserve">st </w:t>
            </w:r>
            <w:r w:rsidRPr="00F276C0">
              <w:t>Quarter, 2018</w:t>
            </w:r>
          </w:p>
        </w:tc>
        <w:tc>
          <w:tcPr>
            <w:tcW w:w="1831" w:type="dxa"/>
            <w:vAlign w:val="bottom"/>
          </w:tcPr>
          <w:p w:rsidR="00BD59B4" w:rsidRPr="00BD59B4" w:rsidRDefault="00BD59B4" w:rsidP="00BD59B4">
            <w:pPr>
              <w:jc w:val="center"/>
            </w:pPr>
            <w:r w:rsidRPr="00BD59B4">
              <w:t>8.09</w:t>
            </w:r>
          </w:p>
        </w:tc>
        <w:tc>
          <w:tcPr>
            <w:tcW w:w="1814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9.36</w:t>
            </w:r>
          </w:p>
        </w:tc>
        <w:tc>
          <w:tcPr>
            <w:tcW w:w="1800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11.08</w:t>
            </w:r>
          </w:p>
        </w:tc>
        <w:tc>
          <w:tcPr>
            <w:tcW w:w="1890" w:type="dxa"/>
            <w:vAlign w:val="bottom"/>
          </w:tcPr>
          <w:p w:rsidR="00BD59B4" w:rsidRPr="00BD59B4" w:rsidRDefault="00BD59B4" w:rsidP="006075B5">
            <w:pPr>
              <w:jc w:val="center"/>
            </w:pPr>
            <w:r w:rsidRPr="00BD59B4">
              <w:t>8.09</w:t>
            </w:r>
          </w:p>
        </w:tc>
      </w:tr>
      <w:tr w:rsidR="004465C8" w:rsidRPr="00BB04B1" w:rsidTr="0030004C">
        <w:trPr>
          <w:trHeight w:val="242"/>
        </w:trPr>
        <w:tc>
          <w:tcPr>
            <w:tcW w:w="2025" w:type="dxa"/>
            <w:vAlign w:val="bottom"/>
          </w:tcPr>
          <w:p w:rsidR="004465C8" w:rsidRPr="00F276C0" w:rsidRDefault="004465C8" w:rsidP="00BD59B4">
            <w:pPr>
              <w:jc w:val="right"/>
            </w:pPr>
            <w:r w:rsidRPr="004465C8">
              <w:t>2</w:t>
            </w:r>
            <w:r w:rsidRPr="004465C8">
              <w:rPr>
                <w:vertAlign w:val="superscript"/>
              </w:rPr>
              <w:t>nd</w:t>
            </w:r>
            <w:r w:rsidRPr="004465C8">
              <w:t xml:space="preserve"> Quarter, 2018</w:t>
            </w:r>
          </w:p>
        </w:tc>
        <w:tc>
          <w:tcPr>
            <w:tcW w:w="1831" w:type="dxa"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8.51</w:t>
            </w:r>
          </w:p>
        </w:tc>
        <w:tc>
          <w:tcPr>
            <w:tcW w:w="1814" w:type="dxa"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</w:t>
            </w:r>
          </w:p>
        </w:tc>
        <w:tc>
          <w:tcPr>
            <w:tcW w:w="1800" w:type="dxa"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11.59</w:t>
            </w:r>
          </w:p>
        </w:tc>
        <w:tc>
          <w:tcPr>
            <w:tcW w:w="1890" w:type="dxa"/>
            <w:vAlign w:val="bottom"/>
          </w:tcPr>
          <w:p w:rsidR="004465C8" w:rsidRPr="002E18F8" w:rsidRDefault="002E18F8" w:rsidP="002E18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13.48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</w:r>
      <w:r w:rsidRPr="00D8403C">
        <w:lastRenderedPageBreak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lastRenderedPageBreak/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lastRenderedPageBreak/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lastRenderedPageBreak/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lastRenderedPageBreak/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lastRenderedPageBreak/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lastRenderedPageBreak/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E7761">
        <w:br w:type="page"/>
      </w:r>
    </w:p>
    <w:p w:rsidR="00E13D66" w:rsidRDefault="00E13D66" w:rsidP="00074E33">
      <w:r>
        <w:lastRenderedPageBreak/>
        <w:br/>
      </w:r>
      <w:r>
        <w:rPr>
          <w:noProof/>
        </w:rPr>
        <w:drawing>
          <wp:inline distT="0" distB="0" distL="0" distR="0" wp14:anchorId="3C9D932B" wp14:editId="0423BE74">
            <wp:extent cx="5943600" cy="3248025"/>
            <wp:effectExtent l="0" t="0" r="0" b="9525"/>
            <wp:docPr id="3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74A5D" w:rsidRDefault="00974A5D"/>
    <w:p w:rsidR="00974A5D" w:rsidRDefault="00974A5D"/>
    <w:p w:rsidR="00974A5D" w:rsidRDefault="00974A5D">
      <w:r>
        <w:rPr>
          <w:noProof/>
        </w:rPr>
        <w:drawing>
          <wp:inline distT="0" distB="0" distL="0" distR="0" wp14:anchorId="7F268DF8" wp14:editId="05215F54">
            <wp:extent cx="5943600" cy="3248025"/>
            <wp:effectExtent l="0" t="0" r="0" b="9525"/>
            <wp:docPr id="3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74A5D" w:rsidRDefault="00974A5D">
      <w:r>
        <w:br w:type="page"/>
      </w:r>
    </w:p>
    <w:p w:rsidR="00AE6E30" w:rsidRDefault="00AE6E30">
      <w:r>
        <w:rPr>
          <w:noProof/>
        </w:rPr>
        <w:lastRenderedPageBreak/>
        <w:drawing>
          <wp:inline distT="0" distB="0" distL="0" distR="0" wp14:anchorId="4742E420" wp14:editId="6C3682AE">
            <wp:extent cx="5943600" cy="3248025"/>
            <wp:effectExtent l="0" t="0" r="0" b="9525"/>
            <wp:docPr id="3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br w:type="page"/>
      </w:r>
    </w:p>
    <w:p w:rsidR="00923640" w:rsidRPr="00D8403C" w:rsidRDefault="00DF51C0" w:rsidP="00074E33">
      <w:r w:rsidRPr="00D8403C">
        <w:lastRenderedPageBreak/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AE6E30">
        <w:t>2</w:t>
      </w:r>
      <w:r w:rsidR="00521293">
        <w:t xml:space="preserve"> </w:t>
      </w:r>
      <w:r w:rsidR="00E62550">
        <w:t>201</w:t>
      </w:r>
      <w:r w:rsidR="00BD59B4">
        <w:t>8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lastRenderedPageBreak/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lastRenderedPageBreak/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</w:t>
      </w:r>
      <w:r w:rsidR="00AE6E30">
        <w:t>2</w:t>
      </w:r>
      <w:r w:rsidR="00521293">
        <w:t xml:space="preserve"> 201</w:t>
      </w:r>
      <w:r w:rsidR="00BD59B4">
        <w:t>8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</w:t>
      </w:r>
      <w:r w:rsidR="00AE6E30">
        <w:t>2</w:t>
      </w:r>
      <w:r w:rsidR="00521293">
        <w:t xml:space="preserve"> 201</w:t>
      </w:r>
      <w:r w:rsidR="00BD59B4">
        <w:t>8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41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C3" w:rsidRDefault="009A22C3" w:rsidP="00210756">
      <w:r>
        <w:separator/>
      </w:r>
    </w:p>
  </w:endnote>
  <w:endnote w:type="continuationSeparator" w:id="0">
    <w:p w:rsidR="009A22C3" w:rsidRDefault="009A22C3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C8" w:rsidRDefault="004465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E30">
      <w:rPr>
        <w:noProof/>
      </w:rPr>
      <w:t>2</w:t>
    </w:r>
    <w:r>
      <w:rPr>
        <w:noProof/>
      </w:rPr>
      <w:fldChar w:fldCharType="end"/>
    </w:r>
  </w:p>
  <w:p w:rsidR="004465C8" w:rsidRDefault="00446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C3" w:rsidRDefault="009A22C3" w:rsidP="00210756">
      <w:r>
        <w:separator/>
      </w:r>
    </w:p>
  </w:footnote>
  <w:footnote w:type="continuationSeparator" w:id="0">
    <w:p w:rsidR="009A22C3" w:rsidRDefault="009A22C3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18F8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65C8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29AB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5E7D"/>
    <w:rsid w:val="0058655D"/>
    <w:rsid w:val="0058655E"/>
    <w:rsid w:val="00586A4B"/>
    <w:rsid w:val="005975A6"/>
    <w:rsid w:val="00597B3A"/>
    <w:rsid w:val="005A19ED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5B5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1189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072"/>
    <w:rsid w:val="00710242"/>
    <w:rsid w:val="0071476F"/>
    <w:rsid w:val="00717248"/>
    <w:rsid w:val="0072371A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87BA1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6B93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117C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A5D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22C3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38F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6E30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EF8"/>
    <w:rsid w:val="00B73F69"/>
    <w:rsid w:val="00B7421E"/>
    <w:rsid w:val="00B752FB"/>
    <w:rsid w:val="00B80685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9B4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5E15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407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097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12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0361"/>
    <w:rsid w:val="00E05554"/>
    <w:rsid w:val="00E055DE"/>
    <w:rsid w:val="00E05C42"/>
    <w:rsid w:val="00E07F06"/>
    <w:rsid w:val="00E108FF"/>
    <w:rsid w:val="00E11E56"/>
    <w:rsid w:val="00E13D6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6606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6C0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289C-F97A-4AF6-AA4A-1D9E31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theme" Target="theme/theme1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1101101101101101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1111111111111111111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1121121121121121121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1131131131131131131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1141141141141141141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1151151151151151151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1161161161161161161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1171171171171171171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1181181181181181181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191191191191191191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1212121212121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package" Target="../embeddings/Microsoft_Excel_Worksheet120120120120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package" Target="../embeddings/Microsoft_Excel_Worksheet121121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2.xml"/><Relationship Id="rId1" Type="http://schemas.openxmlformats.org/officeDocument/2006/relationships/package" Target="../embeddings/Microsoft_Excel_Worksheet1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3.xml"/><Relationship Id="rId2" Type="http://schemas.openxmlformats.org/officeDocument/2006/relationships/package" Target="../embeddings/Microsoft_Excel_Worksheet123.xlsx"/><Relationship Id="rId1" Type="http://schemas.openxmlformats.org/officeDocument/2006/relationships/themeOverride" Target="../theme/themeOverride1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4.xml"/><Relationship Id="rId1" Type="http://schemas.openxmlformats.org/officeDocument/2006/relationships/package" Target="../embeddings/Microsoft_Excel_Worksheet124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5.xml"/><Relationship Id="rId2" Type="http://schemas.openxmlformats.org/officeDocument/2006/relationships/package" Target="../embeddings/Microsoft_Excel_Worksheet125.xlsx"/><Relationship Id="rId1" Type="http://schemas.openxmlformats.org/officeDocument/2006/relationships/themeOverride" Target="../theme/themeOverride2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6.xml"/><Relationship Id="rId2" Type="http://schemas.openxmlformats.org/officeDocument/2006/relationships/package" Target="../embeddings/Microsoft_Excel_Worksheet126.xlsx"/><Relationship Id="rId1" Type="http://schemas.openxmlformats.org/officeDocument/2006/relationships/themeOverride" Target="../theme/themeOverride3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1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1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1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1313131313131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130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package" Target="../embeddings/Microsoft_Excel_Worksheet131.xlsx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2.xml"/><Relationship Id="rId1" Type="http://schemas.openxmlformats.org/officeDocument/2006/relationships/package" Target="../embeddings/Microsoft_Excel_Worksheet132.xlsx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3.xml"/><Relationship Id="rId1" Type="http://schemas.openxmlformats.org/officeDocument/2006/relationships/package" Target="../embeddings/Microsoft_Excel_Worksheet13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1414141414141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15151515151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1616161616161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1717171717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18181818181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1919191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Q2 2018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Sheet1!$C$1:$AJ$1</c:f>
              <c:strCache>
                <c:ptCount val="34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  <c:pt idx="29">
                  <c:v>Q2 2017</c:v>
                </c:pt>
                <c:pt idx="30">
                  <c:v>Q32017</c:v>
                </c:pt>
                <c:pt idx="31">
                  <c:v>Q42017</c:v>
                </c:pt>
                <c:pt idx="32">
                  <c:v>Q12018</c:v>
                </c:pt>
                <c:pt idx="33">
                  <c:v>Q22018</c:v>
                </c:pt>
              </c:strCache>
            </c:strRef>
          </c:cat>
          <c:val>
            <c:numRef>
              <c:f>Sheet1!$C$2:$AJ$2</c:f>
              <c:numCache>
                <c:formatCode>General</c:formatCode>
                <c:ptCount val="34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  <c:pt idx="29">
                  <c:v>8.61</c:v>
                </c:pt>
                <c:pt idx="30">
                  <c:v>9.4499999999999993</c:v>
                </c:pt>
                <c:pt idx="31">
                  <c:v>9.67</c:v>
                </c:pt>
                <c:pt idx="32">
                  <c:v>8.8000000000000007</c:v>
                </c:pt>
                <c:pt idx="33">
                  <c:v>9.8800000000000008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020464"/>
        <c:axId val="165022096"/>
        <c:axId val="0"/>
      </c:bar3DChart>
      <c:catAx>
        <c:axId val="16502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022096"/>
        <c:crosses val="autoZero"/>
        <c:auto val="1"/>
        <c:lblAlgn val="ctr"/>
        <c:lblOffset val="100"/>
        <c:noMultiLvlLbl val="0"/>
      </c:catAx>
      <c:valAx>
        <c:axId val="165022096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165020464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62415024"/>
        <c:axId val="1462412304"/>
      </c:barChart>
      <c:catAx>
        <c:axId val="14624150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462412304"/>
        <c:crosses val="autoZero"/>
        <c:auto val="1"/>
        <c:lblAlgn val="ctr"/>
        <c:lblOffset val="100"/>
        <c:noMultiLvlLbl val="1"/>
      </c:catAx>
      <c:valAx>
        <c:axId val="14624123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4624150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62413392"/>
        <c:axId val="1462413936"/>
      </c:barChart>
      <c:catAx>
        <c:axId val="14624133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462413936"/>
        <c:crosses val="autoZero"/>
        <c:auto val="1"/>
        <c:lblAlgn val="ctr"/>
        <c:lblOffset val="100"/>
        <c:noMultiLvlLbl val="1"/>
      </c:catAx>
      <c:valAx>
        <c:axId val="14624139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4624133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62414480"/>
        <c:axId val="1518814128"/>
      </c:barChart>
      <c:catAx>
        <c:axId val="14624144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518814128"/>
        <c:crosses val="autoZero"/>
        <c:auto val="1"/>
        <c:lblAlgn val="ctr"/>
        <c:lblOffset val="100"/>
        <c:noMultiLvlLbl val="1"/>
      </c:catAx>
      <c:valAx>
        <c:axId val="15188141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462414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18811952"/>
        <c:axId val="1518816304"/>
      </c:barChart>
      <c:catAx>
        <c:axId val="151881195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518816304"/>
        <c:crosses val="autoZero"/>
        <c:auto val="1"/>
        <c:lblAlgn val="ctr"/>
        <c:lblOffset val="100"/>
        <c:noMultiLvlLbl val="1"/>
      </c:catAx>
      <c:valAx>
        <c:axId val="15188163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5188119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18816848"/>
        <c:axId val="1518813040"/>
      </c:barChart>
      <c:catAx>
        <c:axId val="15188168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518813040"/>
        <c:crosses val="autoZero"/>
        <c:auto val="1"/>
        <c:lblAlgn val="ctr"/>
        <c:lblOffset val="100"/>
        <c:noMultiLvlLbl val="1"/>
      </c:catAx>
      <c:valAx>
        <c:axId val="151881304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5188168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6288"/>
        <c:axId val="125016832"/>
      </c:barChart>
      <c:catAx>
        <c:axId val="12501628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16832"/>
        <c:crosses val="autoZero"/>
        <c:auto val="1"/>
        <c:lblAlgn val="ctr"/>
        <c:lblOffset val="100"/>
        <c:noMultiLvlLbl val="1"/>
      </c:catAx>
      <c:valAx>
        <c:axId val="1250168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62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7376"/>
        <c:axId val="125017920"/>
      </c:barChart>
      <c:catAx>
        <c:axId val="1250173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17920"/>
        <c:crosses val="autoZero"/>
        <c:auto val="1"/>
        <c:lblAlgn val="ctr"/>
        <c:lblOffset val="100"/>
        <c:noMultiLvlLbl val="1"/>
      </c:catAx>
      <c:valAx>
        <c:axId val="1250179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73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8464"/>
        <c:axId val="125021184"/>
      </c:barChart>
      <c:catAx>
        <c:axId val="12501846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21184"/>
        <c:crosses val="autoZero"/>
        <c:auto val="1"/>
        <c:lblAlgn val="ctr"/>
        <c:lblOffset val="100"/>
        <c:noMultiLvlLbl val="1"/>
      </c:catAx>
      <c:valAx>
        <c:axId val="1250211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84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5744"/>
        <c:axId val="125014112"/>
      </c:barChart>
      <c:catAx>
        <c:axId val="12501574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14112"/>
        <c:crosses val="autoZero"/>
        <c:auto val="1"/>
        <c:lblAlgn val="ctr"/>
        <c:lblOffset val="100"/>
        <c:noMultiLvlLbl val="1"/>
      </c:catAx>
      <c:valAx>
        <c:axId val="12501411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57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9008"/>
        <c:axId val="125019552"/>
      </c:barChart>
      <c:catAx>
        <c:axId val="1250190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19552"/>
        <c:crosses val="autoZero"/>
        <c:auto val="1"/>
        <c:lblAlgn val="ctr"/>
        <c:lblOffset val="100"/>
        <c:noMultiLvlLbl val="1"/>
      </c:catAx>
      <c:valAx>
        <c:axId val="12501955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90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5019920"/>
        <c:axId val="165023184"/>
      </c:barChart>
      <c:catAx>
        <c:axId val="16501992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65023184"/>
        <c:crosses val="autoZero"/>
        <c:auto val="1"/>
        <c:lblAlgn val="ctr"/>
        <c:lblOffset val="100"/>
        <c:noMultiLvlLbl val="1"/>
      </c:catAx>
      <c:valAx>
        <c:axId val="1650231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650199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0.11792452830188679</c:v>
                </c:pt>
                <c:pt idx="1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0.14150943396226415</c:v>
                </c:pt>
                <c:pt idx="1">
                  <c:v>0.157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0.15094339622641509</c:v>
                </c:pt>
                <c:pt idx="1">
                  <c:v>0.193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0.12735849056603774</c:v>
                </c:pt>
                <c:pt idx="1">
                  <c:v>0.218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0.16981132075471697</c:v>
                </c:pt>
                <c:pt idx="1">
                  <c:v>0.122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20096"/>
        <c:axId val="125020640"/>
      </c:barChart>
      <c:catAx>
        <c:axId val="1250200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20640"/>
        <c:crosses val="autoZero"/>
        <c:auto val="1"/>
        <c:lblAlgn val="ctr"/>
        <c:lblOffset val="100"/>
        <c:noMultiLvlLbl val="1"/>
      </c:catAx>
      <c:valAx>
        <c:axId val="12502064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200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0.11458333333333333</c:v>
                </c:pt>
                <c:pt idx="1">
                  <c:v>0.23499999999999999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0.22395833333333334</c:v>
                </c:pt>
                <c:pt idx="1">
                  <c:v>0.17599999999999999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0.22395833333333334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0.109375</c:v>
                </c:pt>
                <c:pt idx="1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0.328125</c:v>
                </c:pt>
                <c:pt idx="1">
                  <c:v>0.17599999999999999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014656"/>
        <c:axId val="125015200"/>
      </c:barChart>
      <c:catAx>
        <c:axId val="1250146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25015200"/>
        <c:crosses val="autoZero"/>
        <c:auto val="1"/>
        <c:lblAlgn val="ctr"/>
        <c:lblOffset val="100"/>
        <c:noMultiLvlLbl val="1"/>
      </c:catAx>
      <c:valAx>
        <c:axId val="1250152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250146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2018</c:v>
                </c:pt>
                <c:pt idx="1">
                  <c:v>Q3 2018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formatCode="0.0%">
                  <c:v>0.19500000000000001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2018</c:v>
                </c:pt>
                <c:pt idx="1">
                  <c:v>Q3 2018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 formatCode="0.0%">
                  <c:v>0.151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2018</c:v>
                </c:pt>
                <c:pt idx="1">
                  <c:v>Q3 2018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 formatCode="0.0%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2018</c:v>
                </c:pt>
                <c:pt idx="1">
                  <c:v>Q3 2018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 formatCode="0.0%">
                  <c:v>0.28100000000000003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2018</c:v>
                </c:pt>
                <c:pt idx="1">
                  <c:v>Q3 2018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 formatCode="0.0%">
                  <c:v>0.112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1776"/>
        <c:axId val="183255584"/>
      </c:barChart>
      <c:catAx>
        <c:axId val="1832517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83255584"/>
        <c:crosses val="autoZero"/>
        <c:auto val="1"/>
        <c:lblAlgn val="ctr"/>
        <c:lblOffset val="100"/>
        <c:noMultiLvlLbl val="1"/>
      </c:catAx>
      <c:valAx>
        <c:axId val="1832555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832517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0.00</c:formatCode>
                <c:ptCount val="38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  <c:pt idx="33">
                  <c:v>9</c:v>
                </c:pt>
                <c:pt idx="34">
                  <c:v>7.2</c:v>
                </c:pt>
                <c:pt idx="35">
                  <c:v>8.61</c:v>
                </c:pt>
                <c:pt idx="36">
                  <c:v>7.2</c:v>
                </c:pt>
                <c:pt idx="37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6128"/>
        <c:axId val="183253952"/>
      </c:barChart>
      <c:catAx>
        <c:axId val="18325612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83253952"/>
        <c:crosses val="autoZero"/>
        <c:auto val="1"/>
        <c:lblAlgn val="ctr"/>
        <c:lblOffset val="100"/>
        <c:tickLblSkip val="1"/>
        <c:noMultiLvlLbl val="1"/>
      </c:catAx>
      <c:valAx>
        <c:axId val="18325395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832561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  <c:pt idx="33">
                  <c:v>8.1999999999999993</c:v>
                </c:pt>
                <c:pt idx="34">
                  <c:v>9.5399999999999991</c:v>
                </c:pt>
                <c:pt idx="35">
                  <c:v>9.33</c:v>
                </c:pt>
                <c:pt idx="36">
                  <c:v>7.2</c:v>
                </c:pt>
                <c:pt idx="37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6672"/>
        <c:axId val="183257216"/>
      </c:barChart>
      <c:catAx>
        <c:axId val="18325667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183257216"/>
        <c:crosses val="autoZero"/>
        <c:auto val="1"/>
        <c:lblAlgn val="ctr"/>
        <c:lblOffset val="100"/>
        <c:tickLblSkip val="1"/>
        <c:noMultiLvlLbl val="1"/>
      </c:catAx>
      <c:valAx>
        <c:axId val="1832572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3256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  <c:pt idx="33">
                  <c:v>7.2</c:v>
                </c:pt>
                <c:pt idx="34">
                  <c:v>6</c:v>
                </c:pt>
                <c:pt idx="35">
                  <c:v>6</c:v>
                </c:pt>
                <c:pt idx="36">
                  <c:v>4.8</c:v>
                </c:pt>
                <c:pt idx="37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2320"/>
        <c:axId val="183253408"/>
      </c:barChart>
      <c:catAx>
        <c:axId val="18325232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183253408"/>
        <c:crosses val="autoZero"/>
        <c:auto val="1"/>
        <c:lblAlgn val="ctr"/>
        <c:lblOffset val="100"/>
        <c:tickLblSkip val="1"/>
        <c:noMultiLvlLbl val="1"/>
      </c:catAx>
      <c:valAx>
        <c:axId val="18325340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32523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1232"/>
        <c:axId val="183252864"/>
      </c:barChart>
      <c:catAx>
        <c:axId val="18325123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183252864"/>
        <c:crosses val="autoZero"/>
        <c:auto val="1"/>
        <c:lblAlgn val="ctr"/>
        <c:lblOffset val="100"/>
        <c:tickLblSkip val="1"/>
        <c:noMultiLvlLbl val="1"/>
      </c:catAx>
      <c:valAx>
        <c:axId val="1832528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3251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  <c:pt idx="33" formatCode="General">
                  <c:v>7.2</c:v>
                </c:pt>
                <c:pt idx="34" formatCode="General">
                  <c:v>7.8</c:v>
                </c:pt>
                <c:pt idx="35" formatCode="General">
                  <c:v>8.57</c:v>
                </c:pt>
                <c:pt idx="36" formatCode="General">
                  <c:v>7.2</c:v>
                </c:pt>
                <c:pt idx="37" formatCode="General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0144"/>
        <c:axId val="183254496"/>
      </c:barChart>
      <c:catAx>
        <c:axId val="18325014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83254496"/>
        <c:crosses val="autoZero"/>
        <c:auto val="1"/>
        <c:lblAlgn val="ctr"/>
        <c:lblOffset val="100"/>
        <c:tickLblSkip val="1"/>
        <c:noMultiLvlLbl val="1"/>
      </c:catAx>
      <c:valAx>
        <c:axId val="18325449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3250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  <c:pt idx="33">
                  <c:v>4.5</c:v>
                </c:pt>
                <c:pt idx="34">
                  <c:v>4.5</c:v>
                </c:pt>
                <c:pt idx="35">
                  <c:v>4.8</c:v>
                </c:pt>
                <c:pt idx="36">
                  <c:v>5</c:v>
                </c:pt>
                <c:pt idx="37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3255040"/>
        <c:axId val="183250688"/>
      </c:barChart>
      <c:catAx>
        <c:axId val="18325504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183250688"/>
        <c:crosses val="autoZero"/>
        <c:auto val="1"/>
        <c:lblAlgn val="ctr"/>
        <c:lblOffset val="100"/>
        <c:tickLblSkip val="1"/>
        <c:noMultiLvlLbl val="1"/>
      </c:catAx>
      <c:valAx>
        <c:axId val="1832506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832550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  <c:pt idx="33">
                  <c:v>9.8000000000000007</c:v>
                </c:pt>
                <c:pt idx="34">
                  <c:v>9</c:v>
                </c:pt>
                <c:pt idx="35">
                  <c:v>7.92</c:v>
                </c:pt>
                <c:pt idx="36">
                  <c:v>6</c:v>
                </c:pt>
                <c:pt idx="37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2761664"/>
        <c:axId val="112757312"/>
      </c:barChart>
      <c:catAx>
        <c:axId val="11276166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2757312"/>
        <c:crosses val="autoZero"/>
        <c:auto val="1"/>
        <c:lblAlgn val="ctr"/>
        <c:lblOffset val="100"/>
        <c:tickLblSkip val="1"/>
        <c:noMultiLvlLbl val="1"/>
      </c:catAx>
      <c:valAx>
        <c:axId val="1127573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2761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2473344"/>
        <c:axId val="182477696"/>
      </c:barChart>
      <c:catAx>
        <c:axId val="18247334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82477696"/>
        <c:crosses val="autoZero"/>
        <c:auto val="1"/>
        <c:lblAlgn val="ctr"/>
        <c:lblOffset val="100"/>
        <c:noMultiLvlLbl val="1"/>
      </c:catAx>
      <c:valAx>
        <c:axId val="18247769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824733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General</c:formatCode>
                <c:ptCount val="38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2759488"/>
        <c:axId val="112758944"/>
      </c:barChart>
      <c:catAx>
        <c:axId val="11275948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2758944"/>
        <c:crosses val="autoZero"/>
        <c:auto val="1"/>
        <c:lblAlgn val="ctr"/>
        <c:lblOffset val="100"/>
        <c:noMultiLvlLbl val="1"/>
      </c:catAx>
      <c:valAx>
        <c:axId val="1127589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27594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  <c:pt idx="33" formatCode="_(* #,##0.00_);_(* \(#,##0.00\);_(* &quot;-&quot;??_);_(@_)">
                  <c:v>8.6</c:v>
                </c:pt>
                <c:pt idx="34" formatCode="_(* #,##0.00_);_(* \(#,##0.00\);_(* &quot;-&quot;??_);_(@_)">
                  <c:v>9.9499999999999993</c:v>
                </c:pt>
                <c:pt idx="35" formatCode="_(* #,##0.00_);_(* \(#,##0.00\);_(* &quot;-&quot;??_);_(@_)">
                  <c:v>6.67</c:v>
                </c:pt>
                <c:pt idx="36" formatCode="_(* #,##0.00_);_(* \(#,##0.00\);_(* &quot;-&quot;??_);_(@_)">
                  <c:v>5.9</c:v>
                </c:pt>
                <c:pt idx="37" formatCode="_(* #,##0.00_);_(* \(#,##0.00\);_(* &quot;-&quot;??_);_(@_)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2760032"/>
        <c:axId val="112758400"/>
      </c:barChart>
      <c:catAx>
        <c:axId val="1127600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2758400"/>
        <c:crosses val="autoZero"/>
        <c:auto val="1"/>
        <c:lblAlgn val="ctr"/>
        <c:lblOffset val="100"/>
        <c:noMultiLvlLbl val="1"/>
      </c:catAx>
      <c:valAx>
        <c:axId val="1127584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27600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0.00</c:formatCode>
                <c:ptCount val="38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  <c:pt idx="33" formatCode="_(* #,##0.00_);_(* \(#,##0.00\);_(* &quot;-&quot;??_);_(@_)">
                  <c:v>8.1999999999999993</c:v>
                </c:pt>
                <c:pt idx="34" formatCode="_(* #,##0.00_);_(* \(#,##0.00\);_(* &quot;-&quot;??_);_(@_)">
                  <c:v>9.5</c:v>
                </c:pt>
                <c:pt idx="35" formatCode="_(* #,##0.00_);_(* \(#,##0.00\);_(* &quot;-&quot;??_);_(@_)">
                  <c:v>10.119999999999999</c:v>
                </c:pt>
                <c:pt idx="36" formatCode="_(* #,##0.00_);_(* \(#,##0.00\);_(* &quot;-&quot;??_);_(@_)">
                  <c:v>6.4</c:v>
                </c:pt>
                <c:pt idx="37" formatCode="_(* #,##0.00_);_(* \(#,##0.00\);_(* &quot;-&quot;??_);_(@_)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2755136"/>
        <c:axId val="112757856"/>
      </c:barChart>
      <c:catAx>
        <c:axId val="11275513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2757856"/>
        <c:crosses val="autoZero"/>
        <c:auto val="1"/>
        <c:lblAlgn val="ctr"/>
        <c:lblOffset val="100"/>
        <c:noMultiLvlLbl val="1"/>
      </c:catAx>
      <c:valAx>
        <c:axId val="11275785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127551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Sheet1!$A$2:$A$39</c:f>
              <c:strCache>
                <c:ptCount val="38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  <c:pt idx="36">
                  <c:v>Q1 2018</c:v>
                </c:pt>
                <c:pt idx="37">
                  <c:v>Q2 2018</c:v>
                </c:pt>
              </c:strCache>
            </c:strRef>
          </c:cat>
          <c:val>
            <c:numRef>
              <c:f>Sheet1!$B$2:$B$39</c:f>
              <c:numCache>
                <c:formatCode>0.0</c:formatCode>
                <c:ptCount val="38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  <c:pt idx="33" formatCode="_(* #,##0.00_);_(* \(#,##0.00\);_(* &quot;-&quot;??_);_(@_)">
                  <c:v>10.7</c:v>
                </c:pt>
                <c:pt idx="34" formatCode="_(* #,##0.00_);_(* \(#,##0.00\);_(* &quot;-&quot;??_);_(@_)">
                  <c:v>11.1</c:v>
                </c:pt>
                <c:pt idx="35" formatCode="_(* #,##0.00_);_(* \(#,##0.00\);_(* &quot;-&quot;??_);_(@_)">
                  <c:v>13.85</c:v>
                </c:pt>
                <c:pt idx="36" formatCode="_(* #,##0.00_);_(* \(#,##0.00\);_(* &quot;-&quot;??_);_(@_)">
                  <c:v>10.8</c:v>
                </c:pt>
                <c:pt idx="37" formatCode="_(* #,##0.00_);_(* \(#,##0.00\);_(* &quot;-&quot;??_);_(@_)">
                  <c:v>12.2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2760576"/>
        <c:axId val="112761120"/>
      </c:barChart>
      <c:catAx>
        <c:axId val="1127605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112761120"/>
        <c:crosses val="autoZero"/>
        <c:auto val="1"/>
        <c:lblAlgn val="ctr"/>
        <c:lblOffset val="100"/>
        <c:noMultiLvlLbl val="1"/>
      </c:catAx>
      <c:valAx>
        <c:axId val="11276112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27605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2476064"/>
        <c:axId val="182479872"/>
      </c:barChart>
      <c:catAx>
        <c:axId val="18247606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82479872"/>
        <c:crosses val="autoZero"/>
        <c:auto val="1"/>
        <c:lblAlgn val="ctr"/>
        <c:lblOffset val="100"/>
        <c:noMultiLvlLbl val="1"/>
      </c:catAx>
      <c:valAx>
        <c:axId val="18247987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824760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2473888"/>
        <c:axId val="182474976"/>
      </c:barChart>
      <c:catAx>
        <c:axId val="18247388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82474976"/>
        <c:crosses val="autoZero"/>
        <c:auto val="1"/>
        <c:lblAlgn val="ctr"/>
        <c:lblOffset val="100"/>
        <c:noMultiLvlLbl val="1"/>
      </c:catAx>
      <c:valAx>
        <c:axId val="18247497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824738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2476608"/>
        <c:axId val="192435456"/>
      </c:barChart>
      <c:catAx>
        <c:axId val="1824766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92435456"/>
        <c:crosses val="autoZero"/>
        <c:auto val="1"/>
        <c:lblAlgn val="ctr"/>
        <c:lblOffset val="100"/>
        <c:noMultiLvlLbl val="1"/>
      </c:catAx>
      <c:valAx>
        <c:axId val="1924354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824766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2440352"/>
        <c:axId val="192439808"/>
      </c:barChart>
      <c:catAx>
        <c:axId val="19244035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92439808"/>
        <c:crosses val="autoZero"/>
        <c:auto val="1"/>
        <c:lblAlgn val="ctr"/>
        <c:lblOffset val="100"/>
        <c:noMultiLvlLbl val="1"/>
      </c:catAx>
      <c:valAx>
        <c:axId val="1924398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924403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2437632"/>
        <c:axId val="192438720"/>
      </c:barChart>
      <c:catAx>
        <c:axId val="1924376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92438720"/>
        <c:crosses val="autoZero"/>
        <c:auto val="1"/>
        <c:lblAlgn val="ctr"/>
        <c:lblOffset val="100"/>
        <c:noMultiLvlLbl val="1"/>
      </c:catAx>
      <c:valAx>
        <c:axId val="1924387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924376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2441440"/>
        <c:axId val="1462412848"/>
      </c:barChart>
      <c:catAx>
        <c:axId val="1924414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1462412848"/>
        <c:crosses val="autoZero"/>
        <c:auto val="1"/>
        <c:lblAlgn val="ctr"/>
        <c:lblOffset val="100"/>
        <c:noMultiLvlLbl val="1"/>
      </c:catAx>
      <c:valAx>
        <c:axId val="14624128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1924414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3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8E2D-E450-471C-B9AE-C1798E4A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Zachary Fritz</cp:lastModifiedBy>
  <cp:revision>3</cp:revision>
  <cp:lastPrinted>2009-07-14T14:22:00Z</cp:lastPrinted>
  <dcterms:created xsi:type="dcterms:W3CDTF">2018-09-12T16:22:00Z</dcterms:created>
  <dcterms:modified xsi:type="dcterms:W3CDTF">2018-09-13T13:03:00Z</dcterms:modified>
</cp:coreProperties>
</file>