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drawings/drawing12.xml" ContentType="application/vnd.openxmlformats-officedocument.drawingml.chartshapes+xml"/>
  <Override PartName="/word/charts/chart13.xml" ContentType="application/vnd.openxmlformats-officedocument.drawingml.chart+xml"/>
  <Override PartName="/word/drawings/drawing13.xml" ContentType="application/vnd.openxmlformats-officedocument.drawingml.chartshapes+xml"/>
  <Override PartName="/word/charts/chart14.xml" ContentType="application/vnd.openxmlformats-officedocument.drawingml.chart+xml"/>
  <Override PartName="/word/drawings/drawing14.xml" ContentType="application/vnd.openxmlformats-officedocument.drawingml.chartshapes+xml"/>
  <Override PartName="/word/charts/chart15.xml" ContentType="application/vnd.openxmlformats-officedocument.drawingml.chart+xml"/>
  <Override PartName="/word/drawings/drawing15.xml" ContentType="application/vnd.openxmlformats-officedocument.drawingml.chartshapes+xml"/>
  <Override PartName="/word/charts/chart16.xml" ContentType="application/vnd.openxmlformats-officedocument.drawingml.chart+xml"/>
  <Override PartName="/word/drawings/drawing16.xml" ContentType="application/vnd.openxmlformats-officedocument.drawingml.chartshapes+xml"/>
  <Override PartName="/word/charts/chart17.xml" ContentType="application/vnd.openxmlformats-officedocument.drawingml.chart+xml"/>
  <Override PartName="/word/drawings/drawing17.xml" ContentType="application/vnd.openxmlformats-officedocument.drawingml.chartshapes+xml"/>
  <Override PartName="/word/charts/chart18.xml" ContentType="application/vnd.openxmlformats-officedocument.drawingml.chart+xml"/>
  <Override PartName="/word/drawings/drawing18.xml" ContentType="application/vnd.openxmlformats-officedocument.drawingml.chartshapes+xml"/>
  <Override PartName="/word/charts/chart19.xml" ContentType="application/vnd.openxmlformats-officedocument.drawingml.chart+xml"/>
  <Override PartName="/word/drawings/drawing19.xml" ContentType="application/vnd.openxmlformats-officedocument.drawingml.chartshapes+xml"/>
  <Override PartName="/word/charts/chart20.xml" ContentType="application/vnd.openxmlformats-officedocument.drawingml.chart+xml"/>
  <Override PartName="/word/drawings/drawing20.xml" ContentType="application/vnd.openxmlformats-officedocument.drawingml.chartshapes+xml"/>
  <Override PartName="/word/charts/chart21.xml" ContentType="application/vnd.openxmlformats-officedocument.drawingml.chart+xml"/>
  <Override PartName="/word/drawings/drawing21.xml" ContentType="application/vnd.openxmlformats-officedocument.drawingml.chartshapes+xml"/>
  <Override PartName="/word/charts/chart22.xml" ContentType="application/vnd.openxmlformats-officedocument.drawingml.chart+xml"/>
  <Override PartName="/word/theme/themeOverride1.xml" ContentType="application/vnd.openxmlformats-officedocument.themeOverride+xml"/>
  <Override PartName="/word/drawings/drawing22.xml" ContentType="application/vnd.openxmlformats-officedocument.drawingml.chartshapes+xml"/>
  <Override PartName="/word/charts/chart23.xml" ContentType="application/vnd.openxmlformats-officedocument.drawingml.chart+xml"/>
  <Override PartName="/word/drawings/drawing23.xml" ContentType="application/vnd.openxmlformats-officedocument.drawingml.chartshapes+xml"/>
  <Override PartName="/word/charts/chart24.xml" ContentType="application/vnd.openxmlformats-officedocument.drawingml.chart+xml"/>
  <Override PartName="/word/theme/themeOverride2.xml" ContentType="application/vnd.openxmlformats-officedocument.themeOverride+xml"/>
  <Override PartName="/word/drawings/drawing24.xml" ContentType="application/vnd.openxmlformats-officedocument.drawingml.chartshapes+xml"/>
  <Override PartName="/word/charts/chart25.xml" ContentType="application/vnd.openxmlformats-officedocument.drawingml.chart+xml"/>
  <Override PartName="/word/theme/themeOverride3.xml" ContentType="application/vnd.openxmlformats-officedocument.themeOverride+xml"/>
  <Override PartName="/word/drawings/drawing25.xml" ContentType="application/vnd.openxmlformats-officedocument.drawingml.chartshapes+xml"/>
  <Override PartName="/word/charts/chart26.xml" ContentType="application/vnd.openxmlformats-officedocument.drawingml.chart+xml"/>
  <Override PartName="/word/drawings/drawing26.xml" ContentType="application/vnd.openxmlformats-officedocument.drawingml.chartshapes+xml"/>
  <Override PartName="/word/charts/chart27.xml" ContentType="application/vnd.openxmlformats-officedocument.drawingml.chart+xml"/>
  <Override PartName="/word/drawings/drawing27.xml" ContentType="application/vnd.openxmlformats-officedocument.drawingml.chartshapes+xml"/>
  <Override PartName="/word/charts/chart28.xml" ContentType="application/vnd.openxmlformats-officedocument.drawingml.chart+xml"/>
  <Override PartName="/word/drawings/drawing28.xml" ContentType="application/vnd.openxmlformats-officedocument.drawingml.chartshapes+xml"/>
  <Override PartName="/word/charts/chart29.xml" ContentType="application/vnd.openxmlformats-officedocument.drawingml.chart+xml"/>
  <Override PartName="/word/drawings/drawing29.xml" ContentType="application/vnd.openxmlformats-officedocument.drawingml.chartshapes+xml"/>
  <Override PartName="/word/charts/chart30.xml" ContentType="application/vnd.openxmlformats-officedocument.drawingml.chart+xml"/>
  <Override PartName="/word/drawings/drawing30.xml" ContentType="application/vnd.openxmlformats-officedocument.drawingml.chartshapes+xml"/>
  <Override PartName="/word/charts/chart31.xml" ContentType="application/vnd.openxmlformats-officedocument.drawingml.chart+xml"/>
  <Override PartName="/word/drawings/drawing31.xml" ContentType="application/vnd.openxmlformats-officedocument.drawingml.chartshapes+xml"/>
  <Override PartName="/word/charts/chart32.xml" ContentType="application/vnd.openxmlformats-officedocument.drawingml.chart+xml"/>
  <Override PartName="/word/drawings/drawing32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16" w:rsidRPr="00D8403C" w:rsidRDefault="00157F16" w:rsidP="00157F16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 wp14:anchorId="6D01F7A2" wp14:editId="7F85E175">
            <wp:extent cx="5805170" cy="1297305"/>
            <wp:effectExtent l="19050" t="0" r="5080" b="0"/>
            <wp:docPr id="1" name="Picture 1" descr="Backlog_Indicato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log_Indicator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70" cy="129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F16" w:rsidRPr="00D8403C" w:rsidRDefault="00157F16" w:rsidP="00157F16">
      <w:pPr>
        <w:jc w:val="center"/>
        <w:rPr>
          <w:b/>
          <w:sz w:val="32"/>
          <w:szCs w:val="32"/>
        </w:rPr>
      </w:pPr>
    </w:p>
    <w:p w:rsidR="00157F16" w:rsidRPr="00D8403C" w:rsidRDefault="00157F16" w:rsidP="00157F16">
      <w:pPr>
        <w:jc w:val="center"/>
        <w:rPr>
          <w:b/>
          <w:sz w:val="32"/>
          <w:szCs w:val="32"/>
        </w:rPr>
      </w:pPr>
    </w:p>
    <w:p w:rsidR="00157F16" w:rsidRPr="00D8403C" w:rsidRDefault="00157F16" w:rsidP="00157F16">
      <w:pPr>
        <w:jc w:val="center"/>
        <w:rPr>
          <w:b/>
          <w:sz w:val="28"/>
          <w:szCs w:val="28"/>
          <w:u w:val="single"/>
        </w:rPr>
      </w:pPr>
      <w:r w:rsidRPr="00D8403C">
        <w:rPr>
          <w:b/>
          <w:sz w:val="28"/>
          <w:szCs w:val="28"/>
          <w:u w:val="single"/>
        </w:rPr>
        <w:t>Charts and Graphs Index</w:t>
      </w:r>
    </w:p>
    <w:p w:rsidR="00157F16" w:rsidRPr="00C44D58" w:rsidRDefault="006257E7" w:rsidP="00157F16">
      <w:pPr>
        <w:jc w:val="center"/>
        <w:rPr>
          <w:b/>
          <w:szCs w:val="28"/>
          <w:u w:val="single"/>
        </w:rPr>
      </w:pPr>
      <w:r>
        <w:rPr>
          <w:szCs w:val="28"/>
        </w:rPr>
        <w:t>Q1 2009 – Q</w:t>
      </w:r>
      <w:r w:rsidR="00585E7D">
        <w:rPr>
          <w:szCs w:val="28"/>
        </w:rPr>
        <w:t>4</w:t>
      </w:r>
      <w:r w:rsidR="00D15BC0">
        <w:rPr>
          <w:szCs w:val="28"/>
        </w:rPr>
        <w:t xml:space="preserve"> 201</w:t>
      </w:r>
      <w:r w:rsidR="009F338F">
        <w:rPr>
          <w:szCs w:val="28"/>
        </w:rPr>
        <w:t>7</w:t>
      </w:r>
    </w:p>
    <w:p w:rsidR="00157F16" w:rsidRPr="00D8403C" w:rsidRDefault="00157F16" w:rsidP="00157F16">
      <w:pPr>
        <w:rPr>
          <w:b/>
        </w:rPr>
      </w:pPr>
    </w:p>
    <w:p w:rsidR="00157F16" w:rsidRPr="00D8403C" w:rsidRDefault="00157F16" w:rsidP="00157F16">
      <w:pPr>
        <w:ind w:left="720" w:firstLine="720"/>
        <w:rPr>
          <w:b/>
          <w:u w:val="single"/>
        </w:rPr>
      </w:pPr>
    </w:p>
    <w:p w:rsidR="00157F16" w:rsidRPr="00D8403C" w:rsidRDefault="00157F16" w:rsidP="00157F16">
      <w:pPr>
        <w:ind w:left="720" w:firstLine="720"/>
        <w:rPr>
          <w:b/>
        </w:rPr>
      </w:pPr>
      <w:r w:rsidRPr="00D8403C">
        <w:rPr>
          <w:b/>
          <w:u w:val="single"/>
        </w:rPr>
        <w:t>Title</w:t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 w:rsidRPr="00D8403C">
        <w:rPr>
          <w:b/>
        </w:rPr>
        <w:tab/>
      </w:r>
      <w:r>
        <w:rPr>
          <w:b/>
        </w:rPr>
        <w:t xml:space="preserve">                     </w:t>
      </w:r>
      <w:r w:rsidRPr="00D8403C">
        <w:rPr>
          <w:b/>
          <w:u w:val="single"/>
        </w:rPr>
        <w:t>Page</w:t>
      </w:r>
    </w:p>
    <w:p w:rsidR="00157F16" w:rsidRPr="00D8403C" w:rsidRDefault="00157F16" w:rsidP="00157F16"/>
    <w:p w:rsidR="00157F16" w:rsidRDefault="00157F16" w:rsidP="00157F16">
      <w:pPr>
        <w:rPr>
          <w:sz w:val="22"/>
          <w:szCs w:val="22"/>
        </w:rPr>
      </w:pPr>
      <w:r w:rsidRPr="00165A9A">
        <w:rPr>
          <w:sz w:val="22"/>
          <w:szCs w:val="22"/>
        </w:rPr>
        <w:t>National</w:t>
      </w:r>
      <w:r>
        <w:rPr>
          <w:sz w:val="22"/>
          <w:szCs w:val="22"/>
        </w:rPr>
        <w:t xml:space="preserve"> Backlog Average Indicator</w:t>
      </w:r>
      <w:r w:rsidRPr="00165A9A">
        <w:rPr>
          <w:sz w:val="22"/>
          <w:szCs w:val="22"/>
        </w:rPr>
        <w:tab/>
      </w:r>
      <w:r w:rsidRPr="00165A9A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165A9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</w:t>
      </w:r>
      <w:r w:rsidRPr="00165A9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  <w:t xml:space="preserve">    </w:t>
      </w:r>
      <w:r w:rsidRPr="00E971EC">
        <w:rPr>
          <w:sz w:val="22"/>
          <w:szCs w:val="22"/>
        </w:rPr>
        <w:t>2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>
        <w:rPr>
          <w:sz w:val="22"/>
          <w:szCs w:val="22"/>
        </w:rPr>
        <w:t>Average</w:t>
      </w:r>
      <w:r w:rsidRPr="00E971EC">
        <w:rPr>
          <w:sz w:val="22"/>
          <w:szCs w:val="22"/>
        </w:rPr>
        <w:t xml:space="preserve"> backlog measured in months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71EC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ab/>
        <w:t xml:space="preserve">    2   </w:t>
      </w:r>
      <w:r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>
        <w:rPr>
          <w:sz w:val="22"/>
          <w:szCs w:val="22"/>
        </w:rPr>
        <w:t>Average</w:t>
      </w:r>
      <w:r w:rsidRPr="00E971EC">
        <w:rPr>
          <w:sz w:val="22"/>
          <w:szCs w:val="22"/>
        </w:rPr>
        <w:t xml:space="preserve"> backlog measured in months by industry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Pr="00E971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71EC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</w:t>
      </w:r>
      <w:r w:rsidRPr="00E971EC">
        <w:rPr>
          <w:sz w:val="22"/>
          <w:szCs w:val="22"/>
        </w:rPr>
        <w:t>3</w:t>
      </w:r>
      <w:r w:rsidRPr="00E971EC"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>
        <w:rPr>
          <w:sz w:val="22"/>
          <w:szCs w:val="22"/>
        </w:rPr>
        <w:t>Average</w:t>
      </w:r>
      <w:r w:rsidRPr="00E971EC">
        <w:rPr>
          <w:sz w:val="22"/>
          <w:szCs w:val="22"/>
        </w:rPr>
        <w:t xml:space="preserve"> backlog measured in months by region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Pr="00E971EC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Pr="00E971E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4</w:t>
      </w:r>
      <w:r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>
        <w:rPr>
          <w:sz w:val="22"/>
          <w:szCs w:val="22"/>
        </w:rPr>
        <w:t>Average</w:t>
      </w:r>
      <w:r w:rsidRPr="00E971EC">
        <w:rPr>
          <w:sz w:val="22"/>
          <w:szCs w:val="22"/>
        </w:rPr>
        <w:t xml:space="preserve"> backlog measured in months by company size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71EC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  5</w:t>
      </w:r>
      <w:r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 w:rsidRPr="00E971EC">
        <w:rPr>
          <w:sz w:val="22"/>
          <w:szCs w:val="22"/>
        </w:rPr>
        <w:t>Distribution by backlog length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71EC">
        <w:rPr>
          <w:sz w:val="22"/>
          <w:szCs w:val="22"/>
        </w:rPr>
        <w:tab/>
      </w:r>
      <w:r w:rsidRPr="00E971EC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 xml:space="preserve">             </w:t>
      </w:r>
      <w:r w:rsidRPr="00E971EC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6</w:t>
      </w:r>
      <w:r>
        <w:rPr>
          <w:sz w:val="22"/>
          <w:szCs w:val="22"/>
        </w:rPr>
        <w:tab/>
      </w:r>
    </w:p>
    <w:p w:rsidR="00157F16" w:rsidRPr="00E971EC" w:rsidRDefault="00157F16" w:rsidP="00157F16">
      <w:pPr>
        <w:rPr>
          <w:sz w:val="22"/>
          <w:szCs w:val="22"/>
        </w:rPr>
      </w:pPr>
      <w:r w:rsidRPr="00E971EC">
        <w:rPr>
          <w:sz w:val="22"/>
          <w:szCs w:val="22"/>
        </w:rPr>
        <w:t>Median backlog in months for each region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Pr="00E971EC">
        <w:rPr>
          <w:sz w:val="22"/>
          <w:szCs w:val="22"/>
        </w:rPr>
        <w:t xml:space="preserve">  </w:t>
      </w:r>
      <w:r w:rsidRPr="00E971EC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Pr="00E971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1</w:t>
      </w:r>
      <w:r w:rsidR="009F338F">
        <w:rPr>
          <w:sz w:val="22"/>
          <w:szCs w:val="22"/>
        </w:rPr>
        <w:t>6</w:t>
      </w:r>
    </w:p>
    <w:p w:rsidR="00157F16" w:rsidRPr="00E971EC" w:rsidRDefault="00157F16" w:rsidP="00157F16">
      <w:pPr>
        <w:rPr>
          <w:sz w:val="22"/>
          <w:szCs w:val="22"/>
        </w:rPr>
      </w:pPr>
      <w:r w:rsidRPr="00E971EC">
        <w:rPr>
          <w:sz w:val="22"/>
          <w:szCs w:val="22"/>
        </w:rPr>
        <w:t>Median backlog in months by construction segment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E971E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</w:t>
      </w:r>
      <w:r w:rsidR="009F338F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1</w:t>
      </w:r>
      <w:r w:rsidR="009F338F">
        <w:rPr>
          <w:sz w:val="22"/>
          <w:szCs w:val="22"/>
        </w:rPr>
        <w:t>8</w:t>
      </w:r>
      <w:r>
        <w:rPr>
          <w:sz w:val="22"/>
          <w:szCs w:val="22"/>
        </w:rPr>
        <w:tab/>
      </w:r>
    </w:p>
    <w:p w:rsidR="00157F16" w:rsidRPr="00165A9A" w:rsidRDefault="00157F16" w:rsidP="00157F16">
      <w:pPr>
        <w:rPr>
          <w:sz w:val="22"/>
          <w:szCs w:val="22"/>
        </w:rPr>
      </w:pPr>
      <w:r w:rsidRPr="00E971EC">
        <w:rPr>
          <w:sz w:val="22"/>
          <w:szCs w:val="22"/>
        </w:rPr>
        <w:t>Median backlog in months by firm size</w:t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 w:rsidR="00B80685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Pr="00E971EC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</w:t>
      </w:r>
      <w:r w:rsidRPr="00E971EC">
        <w:rPr>
          <w:sz w:val="22"/>
          <w:szCs w:val="22"/>
        </w:rPr>
        <w:t>1</w:t>
      </w:r>
      <w:r w:rsidR="009F338F">
        <w:rPr>
          <w:sz w:val="22"/>
          <w:szCs w:val="22"/>
        </w:rPr>
        <w:t>9</w:t>
      </w:r>
    </w:p>
    <w:p w:rsidR="00157F16" w:rsidRPr="00D8403C" w:rsidRDefault="00157F16" w:rsidP="00157F16"/>
    <w:p w:rsidR="00157F16" w:rsidRPr="00D8403C" w:rsidRDefault="00157F16" w:rsidP="00157F16"/>
    <w:p w:rsidR="00157F16" w:rsidRPr="001F1C7F" w:rsidRDefault="00157F16" w:rsidP="00157F16">
      <w:pPr>
        <w:rPr>
          <w:noProof/>
          <w:color w:val="FF0000"/>
        </w:rPr>
      </w:pPr>
      <w:r w:rsidRPr="001F1C7F">
        <w:rPr>
          <w:noProof/>
          <w:color w:val="FF0000"/>
        </w:rPr>
        <w:br w:type="page"/>
      </w:r>
    </w:p>
    <w:p w:rsidR="00157F16" w:rsidRPr="00D8403C" w:rsidRDefault="00157F16" w:rsidP="00157F16">
      <w:pPr>
        <w:jc w:val="center"/>
      </w:pPr>
      <w:r>
        <w:rPr>
          <w:noProof/>
        </w:rPr>
        <w:lastRenderedPageBreak/>
        <w:drawing>
          <wp:inline distT="0" distB="0" distL="0" distR="0" wp14:anchorId="4E273D04" wp14:editId="525C9180">
            <wp:extent cx="5848350" cy="3895725"/>
            <wp:effectExtent l="0" t="0" r="0" b="9525"/>
            <wp:docPr id="2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57F16" w:rsidRPr="00D8403C" w:rsidRDefault="00157F16" w:rsidP="00157F16"/>
    <w:p w:rsidR="00157F16" w:rsidRPr="00D8403C" w:rsidRDefault="00157F16" w:rsidP="00157F16">
      <w:r>
        <w:t>Average</w:t>
      </w:r>
      <w:r w:rsidRPr="00D8403C">
        <w:t xml:space="preserve"> backlog measured in months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5"/>
        <w:gridCol w:w="2387"/>
        <w:gridCol w:w="2363"/>
        <w:gridCol w:w="2363"/>
      </w:tblGrid>
      <w:tr w:rsidR="00157F16" w:rsidRPr="000608CD" w:rsidTr="00D15BC0">
        <w:trPr>
          <w:trHeight w:val="469"/>
        </w:trPr>
        <w:tc>
          <w:tcPr>
            <w:tcW w:w="2355" w:type="dxa"/>
            <w:noWrap/>
            <w:vAlign w:val="bottom"/>
          </w:tcPr>
          <w:p w:rsidR="00157F16" w:rsidRPr="000608CD" w:rsidRDefault="00157F16" w:rsidP="00D15BC0">
            <w:pPr>
              <w:jc w:val="center"/>
              <w:rPr>
                <w:b/>
                <w:sz w:val="21"/>
              </w:rPr>
            </w:pPr>
            <w:r w:rsidRPr="000608CD">
              <w:rPr>
                <w:b/>
                <w:sz w:val="21"/>
              </w:rPr>
              <w:t>Quarter</w:t>
            </w:r>
          </w:p>
        </w:tc>
        <w:tc>
          <w:tcPr>
            <w:tcW w:w="2387" w:type="dxa"/>
            <w:vAlign w:val="bottom"/>
          </w:tcPr>
          <w:p w:rsidR="00157F16" w:rsidRPr="000608CD" w:rsidRDefault="00157F16" w:rsidP="00D15BC0">
            <w:pPr>
              <w:jc w:val="center"/>
              <w:rPr>
                <w:b/>
                <w:sz w:val="21"/>
              </w:rPr>
            </w:pPr>
            <w:r w:rsidRPr="000608CD">
              <w:rPr>
                <w:b/>
                <w:sz w:val="21"/>
              </w:rPr>
              <w:t>Average Backlog (months)</w:t>
            </w:r>
          </w:p>
        </w:tc>
        <w:tc>
          <w:tcPr>
            <w:tcW w:w="2363" w:type="dxa"/>
            <w:vAlign w:val="bottom"/>
          </w:tcPr>
          <w:p w:rsidR="00157F16" w:rsidRPr="000608CD" w:rsidRDefault="00157F16" w:rsidP="00D15BC0">
            <w:pPr>
              <w:jc w:val="center"/>
              <w:rPr>
                <w:b/>
                <w:sz w:val="21"/>
              </w:rPr>
            </w:pPr>
            <w:r w:rsidRPr="000608CD">
              <w:rPr>
                <w:b/>
                <w:sz w:val="21"/>
              </w:rPr>
              <w:t>Quarter</w:t>
            </w:r>
          </w:p>
        </w:tc>
        <w:tc>
          <w:tcPr>
            <w:tcW w:w="2363" w:type="dxa"/>
            <w:vAlign w:val="bottom"/>
          </w:tcPr>
          <w:p w:rsidR="00157F16" w:rsidRPr="000608CD" w:rsidRDefault="00157F16" w:rsidP="00D15BC0">
            <w:pPr>
              <w:jc w:val="center"/>
              <w:rPr>
                <w:b/>
                <w:sz w:val="21"/>
              </w:rPr>
            </w:pPr>
            <w:r w:rsidRPr="000608CD">
              <w:rPr>
                <w:b/>
                <w:sz w:val="21"/>
              </w:rPr>
              <w:t>Average Backlog (months)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2009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6.53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2014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8.09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 w:rsidRPr="000608CD">
              <w:rPr>
                <w:sz w:val="21"/>
              </w:rPr>
              <w:t xml:space="preserve"> Quarter, 2009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6.02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>
              <w:rPr>
                <w:sz w:val="21"/>
              </w:rPr>
              <w:t xml:space="preserve"> Quarter, 2014</w:t>
            </w:r>
          </w:p>
        </w:tc>
        <w:tc>
          <w:tcPr>
            <w:tcW w:w="2363" w:type="dxa"/>
            <w:vAlign w:val="bottom"/>
          </w:tcPr>
          <w:p w:rsidR="00521293" w:rsidRPr="000E00BC" w:rsidRDefault="00521293" w:rsidP="00521293">
            <w:pPr>
              <w:jc w:val="center"/>
              <w:rPr>
                <w:sz w:val="21"/>
              </w:rPr>
            </w:pPr>
            <w:r w:rsidRPr="000E00BC">
              <w:rPr>
                <w:sz w:val="21"/>
              </w:rPr>
              <w:t>8.53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3</w:t>
            </w:r>
            <w:r w:rsidRPr="000608CD">
              <w:rPr>
                <w:sz w:val="21"/>
                <w:vertAlign w:val="superscript"/>
              </w:rPr>
              <w:t>rd</w:t>
            </w:r>
            <w:r w:rsidRPr="000608CD">
              <w:rPr>
                <w:sz w:val="21"/>
              </w:rPr>
              <w:t xml:space="preserve"> Quarter, 2009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5.87</w:t>
            </w:r>
          </w:p>
        </w:tc>
        <w:tc>
          <w:tcPr>
            <w:tcW w:w="2363" w:type="dxa"/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 w:rsidRPr="0093684C">
              <w:rPr>
                <w:sz w:val="21"/>
                <w:vertAlign w:val="superscript"/>
              </w:rPr>
              <w:t>rd</w:t>
            </w:r>
            <w:r>
              <w:rPr>
                <w:sz w:val="21"/>
              </w:rPr>
              <w:t xml:space="preserve"> Quarter, 2014</w:t>
            </w:r>
          </w:p>
        </w:tc>
        <w:tc>
          <w:tcPr>
            <w:tcW w:w="2363" w:type="dxa"/>
            <w:vAlign w:val="bottom"/>
          </w:tcPr>
          <w:p w:rsidR="00521293" w:rsidRPr="000E00BC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8.78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4</w:t>
            </w:r>
            <w:r w:rsidRPr="000608CD">
              <w:rPr>
                <w:sz w:val="21"/>
                <w:vertAlign w:val="superscript"/>
              </w:rPr>
              <w:t>th</w:t>
            </w:r>
            <w:r w:rsidRPr="000608CD">
              <w:rPr>
                <w:sz w:val="21"/>
              </w:rPr>
              <w:t xml:space="preserve"> Quarter, 2009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5.81</w:t>
            </w:r>
          </w:p>
        </w:tc>
        <w:tc>
          <w:tcPr>
            <w:tcW w:w="2363" w:type="dxa"/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  <w:r w:rsidRPr="00C51D85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Quarter, 2014</w:t>
            </w:r>
          </w:p>
        </w:tc>
        <w:tc>
          <w:tcPr>
            <w:tcW w:w="2363" w:type="dxa"/>
            <w:vAlign w:val="bottom"/>
          </w:tcPr>
          <w:p w:rsidR="00521293" w:rsidRPr="001339FE" w:rsidRDefault="00521293" w:rsidP="00521293">
            <w:pPr>
              <w:jc w:val="center"/>
              <w:rPr>
                <w:sz w:val="21"/>
              </w:rPr>
            </w:pPr>
            <w:r w:rsidRPr="001339FE">
              <w:rPr>
                <w:sz w:val="21"/>
              </w:rPr>
              <w:t>8.69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2010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6.07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 w:rsidRPr="00675A2B">
              <w:rPr>
                <w:sz w:val="21"/>
                <w:vertAlign w:val="superscript"/>
              </w:rPr>
              <w:t>st</w:t>
            </w:r>
            <w:r>
              <w:rPr>
                <w:sz w:val="21"/>
              </w:rPr>
              <w:t xml:space="preserve"> Quarter, 2015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CC4093">
              <w:rPr>
                <w:sz w:val="21"/>
              </w:rPr>
              <w:t>8.41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 w:rsidRPr="000608CD">
              <w:rPr>
                <w:sz w:val="21"/>
              </w:rPr>
              <w:t xml:space="preserve"> Quarter, 2010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7.19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Pr="001B0476">
              <w:rPr>
                <w:sz w:val="21"/>
                <w:vertAlign w:val="superscript"/>
              </w:rPr>
              <w:t>nd</w:t>
            </w:r>
            <w:r>
              <w:rPr>
                <w:sz w:val="21"/>
              </w:rPr>
              <w:t xml:space="preserve"> Quarter, 2015</w:t>
            </w:r>
          </w:p>
        </w:tc>
        <w:tc>
          <w:tcPr>
            <w:tcW w:w="2363" w:type="dxa"/>
            <w:vAlign w:val="bottom"/>
          </w:tcPr>
          <w:p w:rsidR="00521293" w:rsidRPr="00DA2DAB" w:rsidRDefault="00521293" w:rsidP="00521293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13B08">
              <w:rPr>
                <w:sz w:val="21"/>
              </w:rPr>
              <w:t>8.49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3</w:t>
            </w:r>
            <w:r w:rsidRPr="000608CD">
              <w:rPr>
                <w:sz w:val="21"/>
                <w:vertAlign w:val="superscript"/>
              </w:rPr>
              <w:t>rd</w:t>
            </w:r>
            <w:r w:rsidRPr="000608CD">
              <w:rPr>
                <w:sz w:val="21"/>
              </w:rPr>
              <w:t xml:space="preserve"> Quarter, 2010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6.95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 w:rsidRPr="00523BB3">
              <w:rPr>
                <w:sz w:val="21"/>
                <w:vertAlign w:val="superscript"/>
              </w:rPr>
              <w:t>rd</w:t>
            </w:r>
            <w:r>
              <w:rPr>
                <w:sz w:val="21"/>
              </w:rPr>
              <w:t xml:space="preserve"> Quarter, 2015</w:t>
            </w:r>
          </w:p>
        </w:tc>
        <w:tc>
          <w:tcPr>
            <w:tcW w:w="2363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8.47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4</w:t>
            </w:r>
            <w:r w:rsidRPr="000608CD">
              <w:rPr>
                <w:sz w:val="21"/>
                <w:vertAlign w:val="superscript"/>
              </w:rPr>
              <w:t>th</w:t>
            </w:r>
            <w:r w:rsidRPr="000608CD">
              <w:rPr>
                <w:sz w:val="21"/>
              </w:rPr>
              <w:t xml:space="preserve"> Quarter, 2010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7.05</w:t>
            </w:r>
          </w:p>
        </w:tc>
        <w:tc>
          <w:tcPr>
            <w:tcW w:w="2363" w:type="dxa"/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  <w:r w:rsidRPr="00A428C8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Quarter, 2015</w:t>
            </w:r>
          </w:p>
        </w:tc>
        <w:tc>
          <w:tcPr>
            <w:tcW w:w="2363" w:type="dxa"/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8.70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2011</w:t>
            </w:r>
          </w:p>
        </w:tc>
        <w:tc>
          <w:tcPr>
            <w:tcW w:w="2387" w:type="dxa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7.33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 w:rsidRPr="00D15BC0">
              <w:rPr>
                <w:sz w:val="21"/>
                <w:vertAlign w:val="superscript"/>
              </w:rPr>
              <w:t>st</w:t>
            </w:r>
            <w:r>
              <w:rPr>
                <w:sz w:val="21"/>
              </w:rPr>
              <w:t xml:space="preserve"> Quarter, 2016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8.63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 w:rsidRPr="000608CD">
              <w:rPr>
                <w:sz w:val="21"/>
              </w:rPr>
              <w:t xml:space="preserve"> Quarter, 2011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8.06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Pr="006E62DF">
              <w:rPr>
                <w:sz w:val="21"/>
                <w:vertAlign w:val="superscript"/>
              </w:rPr>
              <w:t>nd</w:t>
            </w:r>
            <w:r>
              <w:rPr>
                <w:sz w:val="21"/>
              </w:rPr>
              <w:t xml:space="preserve"> Quarter, 2016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8.49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3</w:t>
            </w:r>
            <w:r w:rsidRPr="000608CD">
              <w:rPr>
                <w:sz w:val="21"/>
                <w:vertAlign w:val="superscript"/>
              </w:rPr>
              <w:t>rd</w:t>
            </w:r>
            <w:r w:rsidRPr="000608CD">
              <w:rPr>
                <w:sz w:val="21"/>
              </w:rPr>
              <w:t xml:space="preserve"> Quarter, 2011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8.08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 w:rsidRPr="00E21CA1">
              <w:rPr>
                <w:sz w:val="21"/>
                <w:vertAlign w:val="superscript"/>
              </w:rPr>
              <w:t>rd</w:t>
            </w:r>
            <w:r>
              <w:rPr>
                <w:sz w:val="21"/>
              </w:rPr>
              <w:t xml:space="preserve"> Quarter, 2016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8.65</w:t>
            </w:r>
          </w:p>
        </w:tc>
      </w:tr>
      <w:tr w:rsidR="00521293" w:rsidRPr="000608CD" w:rsidTr="00D15BC0">
        <w:trPr>
          <w:trHeight w:val="288"/>
        </w:trPr>
        <w:tc>
          <w:tcPr>
            <w:tcW w:w="2355" w:type="dxa"/>
            <w:shd w:val="clear" w:color="auto" w:fill="auto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4</w:t>
            </w:r>
            <w:r w:rsidRPr="000608CD">
              <w:rPr>
                <w:sz w:val="21"/>
                <w:vertAlign w:val="superscript"/>
              </w:rPr>
              <w:t>th</w:t>
            </w:r>
            <w:r w:rsidRPr="000608CD">
              <w:rPr>
                <w:sz w:val="21"/>
              </w:rPr>
              <w:t xml:space="preserve"> Quarter, 2011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7.82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  <w:r w:rsidRPr="00881450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Quarter, 2016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8.31</w:t>
            </w:r>
          </w:p>
        </w:tc>
      </w:tr>
      <w:tr w:rsidR="00521293" w:rsidRPr="000608CD" w:rsidTr="006E62DF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2012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7.40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 w:rsidRPr="00521293">
              <w:rPr>
                <w:sz w:val="21"/>
                <w:vertAlign w:val="superscript"/>
              </w:rPr>
              <w:t>st</w:t>
            </w:r>
            <w:r>
              <w:rPr>
                <w:sz w:val="21"/>
              </w:rPr>
              <w:t xml:space="preserve"> Quarter, 2017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8.98</w:t>
            </w:r>
          </w:p>
        </w:tc>
      </w:tr>
      <w:tr w:rsidR="00521293" w:rsidRPr="000608CD" w:rsidTr="00E21CA1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 w:rsidRPr="000608CD">
              <w:rPr>
                <w:sz w:val="21"/>
              </w:rPr>
              <w:t xml:space="preserve"> Quarter, 2012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7.72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E13D66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Pr="00E13D66">
              <w:rPr>
                <w:sz w:val="21"/>
                <w:vertAlign w:val="superscript"/>
              </w:rPr>
              <w:t>nd</w:t>
            </w:r>
            <w:r>
              <w:rPr>
                <w:sz w:val="21"/>
              </w:rPr>
              <w:t xml:space="preserve"> Quarter, 2017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0608CD" w:rsidRDefault="00E13D66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8.61</w:t>
            </w:r>
          </w:p>
        </w:tc>
      </w:tr>
      <w:tr w:rsidR="00521293" w:rsidRPr="000608CD" w:rsidTr="00E21CA1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3</w:t>
            </w:r>
            <w:r w:rsidRPr="000608CD">
              <w:rPr>
                <w:sz w:val="21"/>
                <w:vertAlign w:val="superscript"/>
              </w:rPr>
              <w:t>rd</w:t>
            </w:r>
            <w:r w:rsidRPr="000608CD">
              <w:rPr>
                <w:sz w:val="21"/>
              </w:rPr>
              <w:t xml:space="preserve"> Quarter, 2012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7.99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91117C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  <w:r w:rsidRPr="0091117C">
              <w:rPr>
                <w:sz w:val="21"/>
                <w:vertAlign w:val="superscript"/>
              </w:rPr>
              <w:t>rd</w:t>
            </w:r>
            <w:r>
              <w:rPr>
                <w:sz w:val="21"/>
              </w:rPr>
              <w:t xml:space="preserve"> Quarter, 2017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Pr="0091117C" w:rsidRDefault="0091117C" w:rsidP="0091117C">
            <w:pPr>
              <w:jc w:val="center"/>
              <w:rPr>
                <w:sz w:val="21"/>
              </w:rPr>
            </w:pPr>
            <w:r w:rsidRPr="0091117C">
              <w:rPr>
                <w:sz w:val="21"/>
              </w:rPr>
              <w:t>9.45</w:t>
            </w:r>
          </w:p>
        </w:tc>
      </w:tr>
      <w:tr w:rsidR="00521293" w:rsidRPr="000608CD" w:rsidTr="0030004C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4</w:t>
            </w:r>
            <w:r w:rsidRPr="000608CD">
              <w:rPr>
                <w:sz w:val="21"/>
                <w:vertAlign w:val="superscript"/>
              </w:rPr>
              <w:t>th</w:t>
            </w:r>
            <w:r w:rsidRPr="000608CD">
              <w:rPr>
                <w:sz w:val="21"/>
              </w:rPr>
              <w:t xml:space="preserve"> Quarter, 2012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8.01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CE3407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  <w:r w:rsidRPr="00881450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Quarter, 2017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CE3407" w:rsidP="00521293">
            <w:pPr>
              <w:jc w:val="center"/>
              <w:rPr>
                <w:sz w:val="21"/>
              </w:rPr>
            </w:pPr>
            <w:r>
              <w:rPr>
                <w:sz w:val="21"/>
              </w:rPr>
              <w:t>9.67</w:t>
            </w:r>
          </w:p>
        </w:tc>
      </w:tr>
      <w:tr w:rsidR="00521293" w:rsidRPr="000608CD" w:rsidTr="0030004C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1</w:t>
            </w:r>
            <w:r w:rsidRPr="000608CD">
              <w:rPr>
                <w:sz w:val="21"/>
                <w:vertAlign w:val="superscript"/>
              </w:rPr>
              <w:t>st</w:t>
            </w:r>
            <w:r w:rsidRPr="000608CD">
              <w:rPr>
                <w:sz w:val="21"/>
              </w:rPr>
              <w:t xml:space="preserve"> Quarter, 2013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7.92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</w:tr>
      <w:tr w:rsidR="00521293" w:rsidRPr="000608CD" w:rsidTr="0030004C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2</w:t>
            </w:r>
            <w:r w:rsidRPr="000608CD">
              <w:rPr>
                <w:sz w:val="21"/>
                <w:vertAlign w:val="superscript"/>
              </w:rPr>
              <w:t>nd</w:t>
            </w:r>
            <w:r w:rsidRPr="000608CD">
              <w:rPr>
                <w:sz w:val="21"/>
              </w:rPr>
              <w:t xml:space="preserve"> Quarter, 2013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8.23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</w:tr>
      <w:tr w:rsidR="00521293" w:rsidRPr="000608CD" w:rsidTr="0030004C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3</w:t>
            </w:r>
            <w:r w:rsidRPr="000608CD">
              <w:rPr>
                <w:sz w:val="21"/>
                <w:vertAlign w:val="superscript"/>
              </w:rPr>
              <w:t>rd</w:t>
            </w:r>
            <w:r w:rsidRPr="000608CD">
              <w:rPr>
                <w:sz w:val="21"/>
              </w:rPr>
              <w:t xml:space="preserve"> Quarter, 2013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8.21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</w:tr>
      <w:tr w:rsidR="00521293" w:rsidRPr="000608CD" w:rsidTr="0030004C">
        <w:trPr>
          <w:trHeight w:val="288"/>
        </w:trPr>
        <w:tc>
          <w:tcPr>
            <w:tcW w:w="2355" w:type="dxa"/>
            <w:noWrap/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4</w:t>
            </w:r>
            <w:r w:rsidRPr="000608CD">
              <w:rPr>
                <w:sz w:val="21"/>
                <w:vertAlign w:val="superscript"/>
              </w:rPr>
              <w:t>th</w:t>
            </w:r>
            <w:r w:rsidRPr="000608CD">
              <w:rPr>
                <w:sz w:val="21"/>
              </w:rPr>
              <w:t xml:space="preserve"> Quarter, 2013</w:t>
            </w:r>
          </w:p>
        </w:tc>
        <w:tc>
          <w:tcPr>
            <w:tcW w:w="2387" w:type="dxa"/>
            <w:tcBorders>
              <w:right w:val="single" w:sz="4" w:space="0" w:color="auto"/>
            </w:tcBorders>
            <w:vAlign w:val="bottom"/>
          </w:tcPr>
          <w:p w:rsidR="00521293" w:rsidRPr="000608CD" w:rsidRDefault="00521293" w:rsidP="00521293">
            <w:pPr>
              <w:jc w:val="center"/>
              <w:rPr>
                <w:sz w:val="21"/>
              </w:rPr>
            </w:pPr>
            <w:r w:rsidRPr="000608CD">
              <w:rPr>
                <w:sz w:val="21"/>
              </w:rPr>
              <w:t>8.32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293" w:rsidRDefault="00521293" w:rsidP="00521293">
            <w:pPr>
              <w:jc w:val="center"/>
              <w:rPr>
                <w:sz w:val="21"/>
              </w:rPr>
            </w:pPr>
          </w:p>
        </w:tc>
      </w:tr>
    </w:tbl>
    <w:p w:rsidR="00157F16" w:rsidRDefault="00157F16" w:rsidP="00157F16"/>
    <w:p w:rsidR="00157F16" w:rsidRDefault="00157F16" w:rsidP="00157F16"/>
    <w:p w:rsidR="00157F16" w:rsidRPr="00D8403C" w:rsidRDefault="00157F16" w:rsidP="00157F16">
      <w:r>
        <w:t>Average</w:t>
      </w:r>
      <w:r w:rsidRPr="00D8403C">
        <w:t xml:space="preserve"> backlog measured in months by industry</w:t>
      </w:r>
    </w:p>
    <w:tbl>
      <w:tblPr>
        <w:tblW w:w="9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2"/>
        <w:gridCol w:w="2758"/>
        <w:gridCol w:w="2470"/>
        <w:gridCol w:w="2377"/>
      </w:tblGrid>
      <w:tr w:rsidR="00157F16" w:rsidRPr="00C51D85" w:rsidTr="00D15BC0">
        <w:trPr>
          <w:trHeight w:val="161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Quarter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  <w:rPr>
                <w:sz w:val="22"/>
              </w:rPr>
            </w:pPr>
            <w:r w:rsidRPr="00C51D85">
              <w:rPr>
                <w:sz w:val="22"/>
              </w:rPr>
              <w:t>Commercial &amp; Institutional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Heavy Industrial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Infrastructure</w:t>
            </w:r>
          </w:p>
        </w:tc>
      </w:tr>
      <w:tr w:rsidR="00157F16" w:rsidRPr="00C51D85" w:rsidTr="00D15BC0">
        <w:trPr>
          <w:trHeight w:val="219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</w:t>
            </w:r>
            <w:r w:rsidRPr="00C51D85">
              <w:rPr>
                <w:vertAlign w:val="superscript"/>
              </w:rPr>
              <w:t>st</w:t>
            </w:r>
            <w:r w:rsidRPr="00C51D85">
              <w:t xml:space="preserve"> Quarter, 2009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6.77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6.33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5.40</w:t>
            </w:r>
          </w:p>
        </w:tc>
      </w:tr>
      <w:tr w:rsidR="00157F16" w:rsidRPr="00C51D85" w:rsidTr="00D15BC0">
        <w:trPr>
          <w:trHeight w:val="238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2009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6.02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5.61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7.61</w:t>
            </w:r>
          </w:p>
        </w:tc>
      </w:tr>
      <w:tr w:rsidR="00157F16" w:rsidRPr="00C51D85" w:rsidTr="00D15BC0">
        <w:trPr>
          <w:trHeight w:val="173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2009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5.54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5.49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10.63</w:t>
            </w:r>
          </w:p>
        </w:tc>
      </w:tr>
      <w:tr w:rsidR="00157F16" w:rsidRPr="00C51D85" w:rsidTr="00D15BC0">
        <w:trPr>
          <w:trHeight w:val="109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2009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5.61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6.11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9.86</w:t>
            </w:r>
          </w:p>
        </w:tc>
      </w:tr>
      <w:tr w:rsidR="00157F16" w:rsidRPr="00C51D85" w:rsidTr="00D15BC0">
        <w:trPr>
          <w:trHeight w:val="87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</w:t>
            </w:r>
            <w:r w:rsidRPr="00C51D85">
              <w:rPr>
                <w:vertAlign w:val="superscript"/>
              </w:rPr>
              <w:t>st</w:t>
            </w:r>
            <w:r w:rsidRPr="00C51D85">
              <w:t xml:space="preserve"> Quarter, 2010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5.90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6.50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9.33</w:t>
            </w:r>
          </w:p>
        </w:tc>
      </w:tr>
      <w:tr w:rsidR="00157F16" w:rsidRPr="00C51D85" w:rsidTr="00D15BC0">
        <w:trPr>
          <w:trHeight w:val="137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2010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6.96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6.83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10.39</w:t>
            </w:r>
          </w:p>
        </w:tc>
      </w:tr>
      <w:tr w:rsidR="00157F16" w:rsidRPr="00C51D85" w:rsidTr="00D15BC0">
        <w:trPr>
          <w:trHeight w:val="87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2010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6.79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6.47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9.66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2010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7.01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6.63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8.89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</w:t>
            </w:r>
            <w:r w:rsidRPr="00C51D85">
              <w:rPr>
                <w:vertAlign w:val="superscript"/>
              </w:rPr>
              <w:t>st</w:t>
            </w:r>
            <w:r w:rsidRPr="00C51D85">
              <w:t xml:space="preserve"> Quarter, 2011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7.26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6.57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8.73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2011</w:t>
            </w:r>
          </w:p>
        </w:tc>
        <w:tc>
          <w:tcPr>
            <w:tcW w:w="2758" w:type="dxa"/>
            <w:vAlign w:val="center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8.63</w:t>
            </w:r>
          </w:p>
        </w:tc>
        <w:tc>
          <w:tcPr>
            <w:tcW w:w="2470" w:type="dxa"/>
            <w:vAlign w:val="center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5.38</w:t>
            </w:r>
          </w:p>
        </w:tc>
        <w:tc>
          <w:tcPr>
            <w:tcW w:w="2377" w:type="dxa"/>
            <w:vAlign w:val="center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7.88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2011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8.42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5.89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9.23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shd w:val="clear" w:color="auto" w:fill="auto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2011</w:t>
            </w:r>
          </w:p>
        </w:tc>
        <w:tc>
          <w:tcPr>
            <w:tcW w:w="2758" w:type="dxa"/>
            <w:shd w:val="clear" w:color="auto" w:fill="auto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7.81</w:t>
            </w:r>
          </w:p>
        </w:tc>
        <w:tc>
          <w:tcPr>
            <w:tcW w:w="2470" w:type="dxa"/>
            <w:shd w:val="clear" w:color="auto" w:fill="auto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5.68</w:t>
            </w:r>
          </w:p>
        </w:tc>
        <w:tc>
          <w:tcPr>
            <w:tcW w:w="2377" w:type="dxa"/>
            <w:shd w:val="clear" w:color="auto" w:fill="auto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9.18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</w:t>
            </w:r>
            <w:r w:rsidRPr="00C51D85">
              <w:rPr>
                <w:vertAlign w:val="superscript"/>
              </w:rPr>
              <w:t>st</w:t>
            </w:r>
            <w:r w:rsidRPr="00C51D85">
              <w:t xml:space="preserve"> Quarter, 2012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7.65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5.24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8.66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2012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7.78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5.92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10.08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2012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8.03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6.73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9.29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2012</w:t>
            </w:r>
          </w:p>
        </w:tc>
        <w:tc>
          <w:tcPr>
            <w:tcW w:w="2758" w:type="dxa"/>
          </w:tcPr>
          <w:p w:rsidR="00157F16" w:rsidRPr="00C51D85" w:rsidRDefault="00157F16" w:rsidP="00D15BC0">
            <w:pPr>
              <w:jc w:val="center"/>
            </w:pPr>
            <w:r w:rsidRPr="00C51D85">
              <w:t>8.13</w:t>
            </w:r>
          </w:p>
        </w:tc>
        <w:tc>
          <w:tcPr>
            <w:tcW w:w="2470" w:type="dxa"/>
          </w:tcPr>
          <w:p w:rsidR="00157F16" w:rsidRPr="00C51D85" w:rsidRDefault="00157F16" w:rsidP="00D15BC0">
            <w:pPr>
              <w:jc w:val="center"/>
            </w:pPr>
            <w:r w:rsidRPr="00C51D85">
              <w:t>6.23</w:t>
            </w:r>
          </w:p>
        </w:tc>
        <w:tc>
          <w:tcPr>
            <w:tcW w:w="2377" w:type="dxa"/>
          </w:tcPr>
          <w:p w:rsidR="00157F16" w:rsidRPr="00C51D85" w:rsidRDefault="00157F16" w:rsidP="00D15BC0">
            <w:pPr>
              <w:jc w:val="center"/>
            </w:pPr>
            <w:r w:rsidRPr="00C51D85">
              <w:t>9.81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</w:t>
            </w:r>
            <w:r w:rsidRPr="00C51D85">
              <w:rPr>
                <w:vertAlign w:val="superscript"/>
              </w:rPr>
              <w:t>st</w:t>
            </w:r>
            <w:r w:rsidRPr="00C51D85">
              <w:t xml:space="preserve"> Quarter, 2013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8.20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5.67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9.69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2013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8.66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5.80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8.96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2013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8.84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4.44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7.12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2013</w:t>
            </w:r>
          </w:p>
        </w:tc>
        <w:tc>
          <w:tcPr>
            <w:tcW w:w="2758" w:type="dxa"/>
          </w:tcPr>
          <w:p w:rsidR="00157F16" w:rsidRPr="00C51D85" w:rsidRDefault="00157F16" w:rsidP="00D15BC0">
            <w:pPr>
              <w:jc w:val="center"/>
            </w:pPr>
            <w:r w:rsidRPr="00C51D85">
              <w:t>8.91</w:t>
            </w:r>
          </w:p>
        </w:tc>
        <w:tc>
          <w:tcPr>
            <w:tcW w:w="2470" w:type="dxa"/>
          </w:tcPr>
          <w:p w:rsidR="00157F16" w:rsidRPr="00C51D85" w:rsidRDefault="00157F16" w:rsidP="00D15BC0">
            <w:pPr>
              <w:jc w:val="center"/>
            </w:pPr>
            <w:r w:rsidRPr="00C51D85">
              <w:t>4.47</w:t>
            </w:r>
          </w:p>
        </w:tc>
        <w:tc>
          <w:tcPr>
            <w:tcW w:w="2377" w:type="dxa"/>
          </w:tcPr>
          <w:p w:rsidR="00157F16" w:rsidRPr="00C51D85" w:rsidRDefault="00157F16" w:rsidP="00D15BC0">
            <w:pPr>
              <w:jc w:val="center"/>
            </w:pPr>
            <w:r w:rsidRPr="00C51D85">
              <w:t>7.07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1st Quarter, 2014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8.44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5.08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7.93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2</w:t>
            </w:r>
            <w:r w:rsidRPr="00C51D85">
              <w:rPr>
                <w:vertAlign w:val="superscript"/>
              </w:rPr>
              <w:t>nd</w:t>
            </w:r>
            <w:r w:rsidRPr="00C51D85">
              <w:t xml:space="preserve"> Quarter, 2014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8.90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6.00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</w:pPr>
            <w:r w:rsidRPr="00C51D85">
              <w:t>8.61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3</w:t>
            </w:r>
            <w:r w:rsidRPr="00C51D85">
              <w:rPr>
                <w:vertAlign w:val="superscript"/>
              </w:rPr>
              <w:t>rd</w:t>
            </w:r>
            <w:r w:rsidRPr="00C51D85">
              <w:t xml:space="preserve"> Quarter, 2014</w:t>
            </w:r>
          </w:p>
        </w:tc>
        <w:tc>
          <w:tcPr>
            <w:tcW w:w="2758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8.91</w:t>
            </w:r>
          </w:p>
        </w:tc>
        <w:tc>
          <w:tcPr>
            <w:tcW w:w="2470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6.71</w:t>
            </w:r>
          </w:p>
        </w:tc>
        <w:tc>
          <w:tcPr>
            <w:tcW w:w="2377" w:type="dxa"/>
            <w:vAlign w:val="bottom"/>
          </w:tcPr>
          <w:p w:rsidR="00157F16" w:rsidRPr="00C51D85" w:rsidRDefault="00157F16" w:rsidP="00D15BC0">
            <w:pPr>
              <w:jc w:val="center"/>
              <w:rPr>
                <w:bCs/>
              </w:rPr>
            </w:pPr>
            <w:r w:rsidRPr="00C51D85">
              <w:rPr>
                <w:bCs/>
              </w:rPr>
              <w:t>9.53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C51D85" w:rsidRDefault="00157F16" w:rsidP="00D15BC0">
            <w:pPr>
              <w:jc w:val="right"/>
            </w:pPr>
            <w:r w:rsidRPr="00C51D85">
              <w:t>4</w:t>
            </w:r>
            <w:r w:rsidRPr="00C51D85">
              <w:rPr>
                <w:vertAlign w:val="superscript"/>
              </w:rPr>
              <w:t>th</w:t>
            </w:r>
            <w:r w:rsidRPr="00C51D85">
              <w:t xml:space="preserve"> Quarter, 2014</w:t>
            </w:r>
          </w:p>
        </w:tc>
        <w:tc>
          <w:tcPr>
            <w:tcW w:w="2758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8.70</w:t>
            </w:r>
          </w:p>
        </w:tc>
        <w:tc>
          <w:tcPr>
            <w:tcW w:w="2470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6.55</w:t>
            </w:r>
          </w:p>
        </w:tc>
        <w:tc>
          <w:tcPr>
            <w:tcW w:w="2377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9.99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9A7E88" w:rsidRDefault="00157F16" w:rsidP="00D15BC0">
            <w:pPr>
              <w:jc w:val="right"/>
            </w:pPr>
            <w:r w:rsidRPr="009A7E88">
              <w:t>1st Quarter, 2015</w:t>
            </w:r>
          </w:p>
        </w:tc>
        <w:tc>
          <w:tcPr>
            <w:tcW w:w="2758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8.19</w:t>
            </w:r>
          </w:p>
        </w:tc>
        <w:tc>
          <w:tcPr>
            <w:tcW w:w="2470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6.75</w:t>
            </w:r>
          </w:p>
        </w:tc>
        <w:tc>
          <w:tcPr>
            <w:tcW w:w="2377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9.95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9A7E88" w:rsidRDefault="00157F16" w:rsidP="00D15BC0">
            <w:pPr>
              <w:jc w:val="right"/>
            </w:pPr>
            <w:r>
              <w:t>2</w:t>
            </w:r>
            <w:r w:rsidRPr="00F739BB">
              <w:rPr>
                <w:vertAlign w:val="superscript"/>
              </w:rPr>
              <w:t>nd</w:t>
            </w:r>
            <w:r>
              <w:t xml:space="preserve"> Quarter, 2015</w:t>
            </w:r>
          </w:p>
        </w:tc>
        <w:tc>
          <w:tcPr>
            <w:tcW w:w="2758" w:type="dxa"/>
            <w:vAlign w:val="bottom"/>
          </w:tcPr>
          <w:p w:rsidR="00157F16" w:rsidRPr="004664E2" w:rsidRDefault="00157F16" w:rsidP="00D15BC0">
            <w:pPr>
              <w:jc w:val="center"/>
              <w:rPr>
                <w:bCs/>
              </w:rPr>
            </w:pPr>
            <w:r w:rsidRPr="004664E2">
              <w:rPr>
                <w:bCs/>
              </w:rPr>
              <w:t>8.09</w:t>
            </w:r>
          </w:p>
        </w:tc>
        <w:tc>
          <w:tcPr>
            <w:tcW w:w="2470" w:type="dxa"/>
            <w:vAlign w:val="bottom"/>
          </w:tcPr>
          <w:p w:rsidR="00157F16" w:rsidRPr="004664E2" w:rsidRDefault="00157F16" w:rsidP="00D15BC0">
            <w:pPr>
              <w:jc w:val="center"/>
              <w:rPr>
                <w:bCs/>
              </w:rPr>
            </w:pPr>
            <w:r w:rsidRPr="004664E2">
              <w:rPr>
                <w:bCs/>
              </w:rPr>
              <w:t>7.26</w:t>
            </w:r>
          </w:p>
        </w:tc>
        <w:tc>
          <w:tcPr>
            <w:tcW w:w="2377" w:type="dxa"/>
            <w:vAlign w:val="bottom"/>
          </w:tcPr>
          <w:p w:rsidR="00157F16" w:rsidRPr="004664E2" w:rsidRDefault="00157F16" w:rsidP="00D15BC0">
            <w:pPr>
              <w:jc w:val="center"/>
              <w:rPr>
                <w:bCs/>
              </w:rPr>
            </w:pPr>
            <w:r w:rsidRPr="004664E2">
              <w:rPr>
                <w:bCs/>
              </w:rPr>
              <w:t>9.84</w:t>
            </w:r>
          </w:p>
        </w:tc>
      </w:tr>
      <w:tr w:rsidR="00157F16" w:rsidRPr="00C51D85" w:rsidTr="00D15BC0">
        <w:trPr>
          <w:trHeight w:val="179"/>
        </w:trPr>
        <w:tc>
          <w:tcPr>
            <w:tcW w:w="2012" w:type="dxa"/>
            <w:noWrap/>
            <w:vAlign w:val="bottom"/>
          </w:tcPr>
          <w:p w:rsidR="00157F16" w:rsidRDefault="00157F16" w:rsidP="00D15BC0">
            <w:pPr>
              <w:jc w:val="right"/>
            </w:pPr>
            <w:r w:rsidRPr="00523BB3">
              <w:t>3rd Quarter, 2015</w:t>
            </w:r>
          </w:p>
        </w:tc>
        <w:tc>
          <w:tcPr>
            <w:tcW w:w="2758" w:type="dxa"/>
          </w:tcPr>
          <w:p w:rsidR="00157F16" w:rsidRPr="00C1345D" w:rsidRDefault="00157F16" w:rsidP="00D15BC0">
            <w:pPr>
              <w:jc w:val="center"/>
            </w:pPr>
            <w:r w:rsidRPr="00C1345D">
              <w:t>8.23</w:t>
            </w:r>
          </w:p>
        </w:tc>
        <w:tc>
          <w:tcPr>
            <w:tcW w:w="2470" w:type="dxa"/>
          </w:tcPr>
          <w:p w:rsidR="00157F16" w:rsidRPr="00C1345D" w:rsidRDefault="00157F16" w:rsidP="00D15BC0">
            <w:pPr>
              <w:jc w:val="center"/>
            </w:pPr>
            <w:r w:rsidRPr="00C1345D">
              <w:t>7.07</w:t>
            </w:r>
          </w:p>
        </w:tc>
        <w:tc>
          <w:tcPr>
            <w:tcW w:w="2377" w:type="dxa"/>
          </w:tcPr>
          <w:p w:rsidR="00157F16" w:rsidRDefault="00157F16" w:rsidP="00D15BC0">
            <w:pPr>
              <w:jc w:val="center"/>
            </w:pPr>
            <w:r w:rsidRPr="00C1345D">
              <w:t>9.90</w:t>
            </w:r>
          </w:p>
        </w:tc>
      </w:tr>
      <w:tr w:rsidR="00157F16" w:rsidRPr="00C51D85" w:rsidTr="00D15BC0">
        <w:trPr>
          <w:trHeight w:val="100"/>
        </w:trPr>
        <w:tc>
          <w:tcPr>
            <w:tcW w:w="2012" w:type="dxa"/>
            <w:noWrap/>
            <w:vAlign w:val="bottom"/>
          </w:tcPr>
          <w:p w:rsidR="00157F16" w:rsidRPr="00523BB3" w:rsidRDefault="00157F16" w:rsidP="00D15BC0">
            <w:pPr>
              <w:jc w:val="right"/>
            </w:pPr>
            <w:r>
              <w:t>4</w:t>
            </w:r>
            <w:r w:rsidRPr="00A428C8">
              <w:rPr>
                <w:vertAlign w:val="superscript"/>
              </w:rPr>
              <w:t>th</w:t>
            </w:r>
            <w:r>
              <w:t xml:space="preserve"> Quarter, 2015</w:t>
            </w:r>
          </w:p>
        </w:tc>
        <w:tc>
          <w:tcPr>
            <w:tcW w:w="2758" w:type="dxa"/>
            <w:vAlign w:val="center"/>
          </w:tcPr>
          <w:p w:rsidR="00157F16" w:rsidRDefault="00157F16" w:rsidP="00D15BC0">
            <w:pPr>
              <w:jc w:val="center"/>
            </w:pPr>
            <w:r>
              <w:t>8.03</w:t>
            </w:r>
          </w:p>
        </w:tc>
        <w:tc>
          <w:tcPr>
            <w:tcW w:w="2470" w:type="dxa"/>
            <w:vAlign w:val="center"/>
          </w:tcPr>
          <w:p w:rsidR="00157F16" w:rsidRDefault="00157F16" w:rsidP="00D15BC0">
            <w:pPr>
              <w:jc w:val="center"/>
            </w:pPr>
            <w:r>
              <w:t>6.64</w:t>
            </w:r>
          </w:p>
        </w:tc>
        <w:tc>
          <w:tcPr>
            <w:tcW w:w="2377" w:type="dxa"/>
            <w:vAlign w:val="center"/>
          </w:tcPr>
          <w:p w:rsidR="00157F16" w:rsidRDefault="00157F16" w:rsidP="00D15BC0">
            <w:pPr>
              <w:jc w:val="center"/>
            </w:pPr>
            <w:r>
              <w:t>12.20</w:t>
            </w:r>
          </w:p>
        </w:tc>
      </w:tr>
      <w:tr w:rsidR="00047B30" w:rsidRPr="00C51D85" w:rsidTr="00325D36">
        <w:trPr>
          <w:trHeight w:val="100"/>
        </w:trPr>
        <w:tc>
          <w:tcPr>
            <w:tcW w:w="2012" w:type="dxa"/>
            <w:noWrap/>
            <w:vAlign w:val="bottom"/>
          </w:tcPr>
          <w:p w:rsidR="00047B30" w:rsidRDefault="00047B30" w:rsidP="00047B30">
            <w:pPr>
              <w:jc w:val="right"/>
            </w:pPr>
            <w:r>
              <w:t>1</w:t>
            </w:r>
            <w:r w:rsidRPr="00047B30">
              <w:rPr>
                <w:vertAlign w:val="superscript"/>
              </w:rPr>
              <w:t>st</w:t>
            </w:r>
            <w:r>
              <w:t xml:space="preserve"> Quarter, 2016</w:t>
            </w:r>
          </w:p>
        </w:tc>
        <w:tc>
          <w:tcPr>
            <w:tcW w:w="2758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8.07</w:t>
            </w:r>
          </w:p>
        </w:tc>
        <w:tc>
          <w:tcPr>
            <w:tcW w:w="2470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6.86</w:t>
            </w:r>
          </w:p>
        </w:tc>
        <w:tc>
          <w:tcPr>
            <w:tcW w:w="2377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11.21</w:t>
            </w:r>
          </w:p>
        </w:tc>
      </w:tr>
      <w:tr w:rsidR="00325D36" w:rsidRPr="00C51D85" w:rsidTr="00325D36">
        <w:trPr>
          <w:trHeight w:val="100"/>
        </w:trPr>
        <w:tc>
          <w:tcPr>
            <w:tcW w:w="2012" w:type="dxa"/>
            <w:noWrap/>
            <w:vAlign w:val="bottom"/>
          </w:tcPr>
          <w:p w:rsidR="00325D36" w:rsidRDefault="00325D36" w:rsidP="00325D36">
            <w:pPr>
              <w:jc w:val="right"/>
            </w:pPr>
            <w:r>
              <w:t>2</w:t>
            </w:r>
            <w:r w:rsidRPr="00325D36">
              <w:rPr>
                <w:vertAlign w:val="superscript"/>
              </w:rPr>
              <w:t>nd</w:t>
            </w:r>
            <w:r>
              <w:t xml:space="preserve"> Quarter, 2016</w:t>
            </w:r>
          </w:p>
        </w:tc>
        <w:tc>
          <w:tcPr>
            <w:tcW w:w="2758" w:type="dxa"/>
            <w:vAlign w:val="center"/>
          </w:tcPr>
          <w:p w:rsidR="00325D36" w:rsidRDefault="00325D36" w:rsidP="00325D36">
            <w:pPr>
              <w:jc w:val="center"/>
            </w:pPr>
            <w:r>
              <w:t>8.01</w:t>
            </w:r>
          </w:p>
        </w:tc>
        <w:tc>
          <w:tcPr>
            <w:tcW w:w="2470" w:type="dxa"/>
            <w:vAlign w:val="center"/>
          </w:tcPr>
          <w:p w:rsidR="00325D36" w:rsidRDefault="00325D36" w:rsidP="00325D36">
            <w:pPr>
              <w:jc w:val="center"/>
            </w:pPr>
            <w:r>
              <w:t>7.44</w:t>
            </w:r>
          </w:p>
        </w:tc>
        <w:tc>
          <w:tcPr>
            <w:tcW w:w="2377" w:type="dxa"/>
            <w:vAlign w:val="center"/>
          </w:tcPr>
          <w:p w:rsidR="00325D36" w:rsidRDefault="00325D36" w:rsidP="00325D36">
            <w:pPr>
              <w:jc w:val="center"/>
            </w:pPr>
            <w:r>
              <w:t>10.80</w:t>
            </w:r>
          </w:p>
        </w:tc>
      </w:tr>
      <w:tr w:rsidR="00E21CA1" w:rsidRPr="00C51D85" w:rsidTr="00325D36">
        <w:trPr>
          <w:trHeight w:val="100"/>
        </w:trPr>
        <w:tc>
          <w:tcPr>
            <w:tcW w:w="2012" w:type="dxa"/>
            <w:noWrap/>
            <w:vAlign w:val="bottom"/>
          </w:tcPr>
          <w:p w:rsidR="00E21CA1" w:rsidRDefault="00E21CA1" w:rsidP="00325D36">
            <w:pPr>
              <w:jc w:val="right"/>
            </w:pPr>
            <w:r>
              <w:t>3</w:t>
            </w:r>
            <w:r w:rsidRPr="00E21CA1">
              <w:rPr>
                <w:vertAlign w:val="superscript"/>
              </w:rPr>
              <w:t>rd</w:t>
            </w:r>
            <w:r>
              <w:t xml:space="preserve"> Quarter, 2016</w:t>
            </w:r>
          </w:p>
        </w:tc>
        <w:tc>
          <w:tcPr>
            <w:tcW w:w="2758" w:type="dxa"/>
            <w:vAlign w:val="center"/>
          </w:tcPr>
          <w:p w:rsidR="00E21CA1" w:rsidRDefault="00E21CA1" w:rsidP="00325D36">
            <w:pPr>
              <w:jc w:val="center"/>
            </w:pPr>
            <w:r>
              <w:t>8.31</w:t>
            </w:r>
          </w:p>
        </w:tc>
        <w:tc>
          <w:tcPr>
            <w:tcW w:w="2470" w:type="dxa"/>
            <w:vAlign w:val="center"/>
          </w:tcPr>
          <w:p w:rsidR="00E21CA1" w:rsidRDefault="00E21CA1" w:rsidP="00325D36">
            <w:pPr>
              <w:jc w:val="center"/>
            </w:pPr>
            <w:r>
              <w:t>6.60</w:t>
            </w:r>
          </w:p>
        </w:tc>
        <w:tc>
          <w:tcPr>
            <w:tcW w:w="2377" w:type="dxa"/>
            <w:vAlign w:val="center"/>
          </w:tcPr>
          <w:p w:rsidR="00E21CA1" w:rsidRDefault="00E21CA1" w:rsidP="00325D36">
            <w:pPr>
              <w:jc w:val="center"/>
            </w:pPr>
            <w:r>
              <w:t>11.05</w:t>
            </w:r>
          </w:p>
        </w:tc>
      </w:tr>
      <w:tr w:rsidR="00881450" w:rsidRPr="00C51D85" w:rsidTr="00881450">
        <w:trPr>
          <w:trHeight w:val="100"/>
        </w:trPr>
        <w:tc>
          <w:tcPr>
            <w:tcW w:w="2012" w:type="dxa"/>
            <w:noWrap/>
            <w:vAlign w:val="bottom"/>
          </w:tcPr>
          <w:p w:rsidR="00881450" w:rsidRDefault="00881450" w:rsidP="00881450">
            <w:pPr>
              <w:jc w:val="right"/>
            </w:pPr>
            <w:r>
              <w:t>4</w:t>
            </w:r>
            <w:r w:rsidRPr="00881450">
              <w:rPr>
                <w:vertAlign w:val="superscript"/>
              </w:rPr>
              <w:t>th</w:t>
            </w:r>
            <w:r>
              <w:t xml:space="preserve"> Quarter, 2016</w:t>
            </w:r>
          </w:p>
        </w:tc>
        <w:tc>
          <w:tcPr>
            <w:tcW w:w="2758" w:type="dxa"/>
            <w:vAlign w:val="center"/>
          </w:tcPr>
          <w:p w:rsidR="00881450" w:rsidRDefault="00881450" w:rsidP="00881450">
            <w:pPr>
              <w:jc w:val="center"/>
            </w:pPr>
            <w:r>
              <w:t>8.01</w:t>
            </w:r>
          </w:p>
        </w:tc>
        <w:tc>
          <w:tcPr>
            <w:tcW w:w="2470" w:type="dxa"/>
            <w:vAlign w:val="center"/>
          </w:tcPr>
          <w:p w:rsidR="00881450" w:rsidRDefault="00881450" w:rsidP="00881450">
            <w:pPr>
              <w:jc w:val="center"/>
            </w:pPr>
            <w:r>
              <w:t>5.49</w:t>
            </w:r>
          </w:p>
        </w:tc>
        <w:tc>
          <w:tcPr>
            <w:tcW w:w="2377" w:type="dxa"/>
            <w:vAlign w:val="center"/>
          </w:tcPr>
          <w:p w:rsidR="00881450" w:rsidRDefault="00881450" w:rsidP="00881450">
            <w:pPr>
              <w:jc w:val="center"/>
            </w:pPr>
            <w:r>
              <w:t>10.59</w:t>
            </w:r>
          </w:p>
        </w:tc>
      </w:tr>
      <w:tr w:rsidR="00521293" w:rsidRPr="00C51D85" w:rsidTr="00521293">
        <w:trPr>
          <w:trHeight w:val="100"/>
        </w:trPr>
        <w:tc>
          <w:tcPr>
            <w:tcW w:w="2012" w:type="dxa"/>
            <w:noWrap/>
            <w:vAlign w:val="bottom"/>
          </w:tcPr>
          <w:p w:rsidR="00521293" w:rsidRDefault="00521293" w:rsidP="00521293">
            <w:pPr>
              <w:jc w:val="right"/>
            </w:pPr>
            <w:r w:rsidRPr="00521293">
              <w:t>1</w:t>
            </w:r>
            <w:r w:rsidRPr="00521293">
              <w:rPr>
                <w:vertAlign w:val="superscript"/>
              </w:rPr>
              <w:t>st</w:t>
            </w:r>
            <w:r>
              <w:t xml:space="preserve"> </w:t>
            </w:r>
            <w:r w:rsidRPr="00521293">
              <w:t>Quarter, 2017</w:t>
            </w:r>
          </w:p>
        </w:tc>
        <w:tc>
          <w:tcPr>
            <w:tcW w:w="2758" w:type="dxa"/>
            <w:vAlign w:val="center"/>
          </w:tcPr>
          <w:p w:rsidR="00521293" w:rsidRPr="00521293" w:rsidRDefault="00521293" w:rsidP="00521293">
            <w:pPr>
              <w:jc w:val="center"/>
            </w:pPr>
            <w:r w:rsidRPr="00521293">
              <w:t>8.90</w:t>
            </w:r>
          </w:p>
        </w:tc>
        <w:tc>
          <w:tcPr>
            <w:tcW w:w="2470" w:type="dxa"/>
            <w:vAlign w:val="center"/>
          </w:tcPr>
          <w:p w:rsidR="00521293" w:rsidRPr="00521293" w:rsidRDefault="00521293" w:rsidP="00521293">
            <w:pPr>
              <w:jc w:val="center"/>
            </w:pPr>
            <w:r w:rsidRPr="00521293">
              <w:t>5.88</w:t>
            </w:r>
          </w:p>
        </w:tc>
        <w:tc>
          <w:tcPr>
            <w:tcW w:w="2377" w:type="dxa"/>
            <w:vAlign w:val="center"/>
          </w:tcPr>
          <w:p w:rsidR="00521293" w:rsidRPr="00521293" w:rsidRDefault="00521293" w:rsidP="00521293">
            <w:pPr>
              <w:jc w:val="center"/>
            </w:pPr>
            <w:r w:rsidRPr="00521293">
              <w:t>11.03</w:t>
            </w:r>
          </w:p>
        </w:tc>
      </w:tr>
      <w:tr w:rsidR="00E13D66" w:rsidRPr="00C51D85" w:rsidTr="00E13D66">
        <w:trPr>
          <w:trHeight w:val="100"/>
        </w:trPr>
        <w:tc>
          <w:tcPr>
            <w:tcW w:w="2012" w:type="dxa"/>
            <w:noWrap/>
            <w:vAlign w:val="bottom"/>
          </w:tcPr>
          <w:p w:rsidR="00E13D66" w:rsidRPr="00521293" w:rsidRDefault="00E13D66" w:rsidP="00E13D66">
            <w:pPr>
              <w:jc w:val="right"/>
            </w:pPr>
            <w:r>
              <w:t>2</w:t>
            </w:r>
            <w:r w:rsidRPr="00E13D66">
              <w:rPr>
                <w:vertAlign w:val="superscript"/>
              </w:rPr>
              <w:t>nd</w:t>
            </w:r>
            <w:r>
              <w:t xml:space="preserve"> Quarter, 2017</w:t>
            </w:r>
          </w:p>
        </w:tc>
        <w:tc>
          <w:tcPr>
            <w:tcW w:w="2758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8.39</w:t>
            </w:r>
          </w:p>
        </w:tc>
        <w:tc>
          <w:tcPr>
            <w:tcW w:w="2470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5.50</w:t>
            </w:r>
          </w:p>
        </w:tc>
        <w:tc>
          <w:tcPr>
            <w:tcW w:w="2377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11.66</w:t>
            </w:r>
          </w:p>
        </w:tc>
      </w:tr>
      <w:tr w:rsidR="0091117C" w:rsidRPr="00C51D85" w:rsidTr="00E13D66">
        <w:trPr>
          <w:trHeight w:val="100"/>
        </w:trPr>
        <w:tc>
          <w:tcPr>
            <w:tcW w:w="2012" w:type="dxa"/>
            <w:noWrap/>
            <w:vAlign w:val="bottom"/>
          </w:tcPr>
          <w:p w:rsidR="0091117C" w:rsidRDefault="0091117C" w:rsidP="0091117C">
            <w:pPr>
              <w:jc w:val="right"/>
            </w:pPr>
            <w:r>
              <w:t>3</w:t>
            </w:r>
            <w:r w:rsidRPr="0091117C">
              <w:rPr>
                <w:vertAlign w:val="superscript"/>
              </w:rPr>
              <w:t>rd</w:t>
            </w:r>
            <w:r>
              <w:t xml:space="preserve"> Quarter, 2017</w:t>
            </w:r>
          </w:p>
        </w:tc>
        <w:tc>
          <w:tcPr>
            <w:tcW w:w="2758" w:type="dxa"/>
            <w:vAlign w:val="bottom"/>
          </w:tcPr>
          <w:p w:rsidR="0091117C" w:rsidRPr="0091117C" w:rsidRDefault="0091117C" w:rsidP="0091117C">
            <w:pPr>
              <w:jc w:val="center"/>
            </w:pPr>
            <w:r w:rsidRPr="0091117C">
              <w:t>9.31</w:t>
            </w:r>
          </w:p>
        </w:tc>
        <w:tc>
          <w:tcPr>
            <w:tcW w:w="2470" w:type="dxa"/>
            <w:vAlign w:val="bottom"/>
          </w:tcPr>
          <w:p w:rsidR="0091117C" w:rsidRPr="0091117C" w:rsidRDefault="0091117C" w:rsidP="0091117C">
            <w:pPr>
              <w:jc w:val="center"/>
            </w:pPr>
            <w:r w:rsidRPr="0091117C">
              <w:t>5.46</w:t>
            </w:r>
          </w:p>
        </w:tc>
        <w:tc>
          <w:tcPr>
            <w:tcW w:w="2377" w:type="dxa"/>
            <w:vAlign w:val="bottom"/>
          </w:tcPr>
          <w:p w:rsidR="0091117C" w:rsidRPr="0091117C" w:rsidRDefault="0091117C" w:rsidP="0091117C">
            <w:pPr>
              <w:jc w:val="center"/>
            </w:pPr>
            <w:r w:rsidRPr="0091117C">
              <w:t>12.53</w:t>
            </w:r>
          </w:p>
        </w:tc>
      </w:tr>
      <w:tr w:rsidR="00974A5D" w:rsidRPr="00C51D85" w:rsidTr="00E13D66">
        <w:trPr>
          <w:trHeight w:val="100"/>
        </w:trPr>
        <w:tc>
          <w:tcPr>
            <w:tcW w:w="2012" w:type="dxa"/>
            <w:noWrap/>
            <w:vAlign w:val="bottom"/>
          </w:tcPr>
          <w:p w:rsidR="00974A5D" w:rsidRDefault="00974A5D" w:rsidP="00974A5D">
            <w:pPr>
              <w:jc w:val="right"/>
            </w:pPr>
            <w:r>
              <w:t>4</w:t>
            </w:r>
            <w:r w:rsidRPr="00881450">
              <w:rPr>
                <w:vertAlign w:val="superscript"/>
              </w:rPr>
              <w:t>th</w:t>
            </w:r>
            <w:r>
              <w:t xml:space="preserve"> Quarter, 2017</w:t>
            </w:r>
          </w:p>
        </w:tc>
        <w:tc>
          <w:tcPr>
            <w:tcW w:w="2758" w:type="dxa"/>
            <w:vAlign w:val="bottom"/>
          </w:tcPr>
          <w:p w:rsidR="00974A5D" w:rsidRPr="00974A5D" w:rsidRDefault="00974A5D" w:rsidP="00974A5D">
            <w:pPr>
              <w:jc w:val="center"/>
            </w:pPr>
            <w:r w:rsidRPr="00974A5D">
              <w:t>10.07</w:t>
            </w:r>
          </w:p>
        </w:tc>
        <w:tc>
          <w:tcPr>
            <w:tcW w:w="2470" w:type="dxa"/>
            <w:vAlign w:val="bottom"/>
          </w:tcPr>
          <w:p w:rsidR="00974A5D" w:rsidRPr="00974A5D" w:rsidRDefault="00974A5D" w:rsidP="00974A5D">
            <w:pPr>
              <w:jc w:val="center"/>
            </w:pPr>
            <w:r w:rsidRPr="00974A5D">
              <w:t>5.17</w:t>
            </w:r>
          </w:p>
        </w:tc>
        <w:tc>
          <w:tcPr>
            <w:tcW w:w="2377" w:type="dxa"/>
            <w:vAlign w:val="bottom"/>
          </w:tcPr>
          <w:p w:rsidR="00974A5D" w:rsidRPr="00974A5D" w:rsidRDefault="00974A5D" w:rsidP="00974A5D">
            <w:pPr>
              <w:jc w:val="center"/>
            </w:pPr>
            <w:r w:rsidRPr="00974A5D">
              <w:t>12.55</w:t>
            </w:r>
          </w:p>
        </w:tc>
      </w:tr>
    </w:tbl>
    <w:p w:rsidR="00157F16" w:rsidRDefault="00157F16" w:rsidP="00521293">
      <w:pPr>
        <w:jc w:val="center"/>
      </w:pPr>
    </w:p>
    <w:p w:rsidR="00157F16" w:rsidRDefault="00157F16" w:rsidP="00157F16">
      <w:r>
        <w:br w:type="page"/>
      </w:r>
    </w:p>
    <w:p w:rsidR="00157F16" w:rsidRPr="00D8403C" w:rsidRDefault="00157F16" w:rsidP="00157F16">
      <w:r>
        <w:t>Average</w:t>
      </w:r>
      <w:r w:rsidRPr="00D8403C">
        <w:t xml:space="preserve"> backlog measured in months by region</w:t>
      </w:r>
    </w:p>
    <w:tbl>
      <w:tblPr>
        <w:tblW w:w="93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5"/>
        <w:gridCol w:w="1775"/>
        <w:gridCol w:w="1909"/>
        <w:gridCol w:w="1781"/>
        <w:gridCol w:w="1775"/>
      </w:tblGrid>
      <w:tr w:rsidR="00157F16" w:rsidRPr="00BB04B1" w:rsidTr="00047B30">
        <w:trPr>
          <w:trHeight w:val="251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Quarter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Northeast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South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Middle States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West</w:t>
            </w:r>
          </w:p>
        </w:tc>
      </w:tr>
      <w:tr w:rsidR="00157F16" w:rsidRPr="00BB04B1" w:rsidTr="00047B30">
        <w:trPr>
          <w:trHeight w:val="170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2009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5.54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8.15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5.11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6.70</w:t>
            </w:r>
          </w:p>
        </w:tc>
      </w:tr>
      <w:tr w:rsidR="00157F16" w:rsidRPr="00BB04B1" w:rsidTr="00047B30">
        <w:trPr>
          <w:trHeight w:val="269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2009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4.96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7.26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5.03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6.37</w:t>
            </w:r>
          </w:p>
        </w:tc>
      </w:tr>
      <w:tr w:rsidR="00157F16" w:rsidRPr="00BB04B1" w:rsidTr="00047B30">
        <w:trPr>
          <w:trHeight w:val="242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2009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5.81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5.91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5.52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6.41</w:t>
            </w:r>
          </w:p>
        </w:tc>
      </w:tr>
      <w:tr w:rsidR="00157F16" w:rsidRPr="00BB04B1" w:rsidTr="00047B30">
        <w:trPr>
          <w:trHeight w:val="206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2009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5.41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6.54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4.93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6.35</w:t>
            </w:r>
          </w:p>
        </w:tc>
      </w:tr>
      <w:tr w:rsidR="00157F16" w:rsidRPr="00BB04B1" w:rsidTr="00047B30">
        <w:trPr>
          <w:trHeight w:val="134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2010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6.33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6.41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5.23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6.06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2010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7.19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7.43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6.69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7.33</w:t>
            </w:r>
          </w:p>
        </w:tc>
      </w:tr>
      <w:tr w:rsidR="00157F16" w:rsidRPr="00BB04B1" w:rsidTr="00047B30">
        <w:trPr>
          <w:trHeight w:val="89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2010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8.01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6.98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5.77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6.85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2010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7.01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7.78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6.22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5.80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2011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7.34</w:t>
            </w:r>
          </w:p>
        </w:tc>
        <w:tc>
          <w:tcPr>
            <w:tcW w:w="1909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8.16</w:t>
            </w:r>
          </w:p>
        </w:tc>
        <w:tc>
          <w:tcPr>
            <w:tcW w:w="178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6.21</w:t>
            </w:r>
          </w:p>
        </w:tc>
        <w:tc>
          <w:tcPr>
            <w:tcW w:w="1775" w:type="dxa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6.24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2011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7.23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9.30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6.94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7.94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2011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7.52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9.41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6.50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7.40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2011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7.99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8.92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6.53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6.11</w:t>
            </w:r>
          </w:p>
        </w:tc>
      </w:tr>
      <w:tr w:rsidR="00157F16" w:rsidRPr="00BB04B1" w:rsidTr="00047B30">
        <w:trPr>
          <w:trHeight w:val="70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6.87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8.88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6.34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6.57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7.28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8.75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6.73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7.50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7.62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8.45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6.97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8.93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color w:val="000000"/>
              </w:rPr>
            </w:pPr>
            <w:r w:rsidRPr="00BB04B1">
              <w:rPr>
                <w:color w:val="000000"/>
              </w:rPr>
              <w:t>8.21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color w:val="000000"/>
              </w:rPr>
            </w:pPr>
            <w:r w:rsidRPr="00BB04B1">
              <w:rPr>
                <w:color w:val="000000"/>
              </w:rPr>
              <w:t>8.91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color w:val="000000"/>
              </w:rPr>
            </w:pPr>
            <w:r w:rsidRPr="00BB04B1">
              <w:rPr>
                <w:color w:val="000000"/>
              </w:rPr>
              <w:t>6.61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color w:val="000000"/>
              </w:rPr>
            </w:pPr>
            <w:r w:rsidRPr="00BB04B1">
              <w:rPr>
                <w:color w:val="000000"/>
              </w:rPr>
              <w:t>7.83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8.86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9.27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5.51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7.11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9.41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9.05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6.32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8.21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8.23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9.79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6.15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7.38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8.43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9.65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6.40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7.91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1st Quarter, 2014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8.34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9.14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6.16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8.09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9.36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8.88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6.42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9.22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10.17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8.98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6.93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9.42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10.18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9.29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7.02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7.42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9A7E88" w:rsidRDefault="00157F16" w:rsidP="00D15BC0">
            <w:pPr>
              <w:jc w:val="right"/>
            </w:pPr>
            <w:r w:rsidRPr="009A7E88">
              <w:t>1st Quarter, 2015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9.14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9.84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6.97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5.54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9A7E88" w:rsidRDefault="00157F16" w:rsidP="00D15BC0">
            <w:pPr>
              <w:jc w:val="right"/>
            </w:pPr>
            <w:r>
              <w:t>2</w:t>
            </w:r>
            <w:r w:rsidRPr="00F739BB">
              <w:rPr>
                <w:vertAlign w:val="superscript"/>
              </w:rPr>
              <w:t>nd</w:t>
            </w:r>
            <w:r>
              <w:t xml:space="preserve"> Quarter, 2015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494753" w:rsidRDefault="00157F16" w:rsidP="00D15BC0">
            <w:pPr>
              <w:jc w:val="center"/>
              <w:rPr>
                <w:bCs/>
              </w:rPr>
            </w:pPr>
            <w:r w:rsidRPr="00494753">
              <w:rPr>
                <w:bCs/>
              </w:rPr>
              <w:t>8.85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494753" w:rsidRDefault="00157F16" w:rsidP="00D15BC0">
            <w:pPr>
              <w:jc w:val="center"/>
              <w:rPr>
                <w:bCs/>
              </w:rPr>
            </w:pPr>
            <w:r w:rsidRPr="00494753">
              <w:rPr>
                <w:bCs/>
              </w:rPr>
              <w:t>9.80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494753" w:rsidRDefault="00157F16" w:rsidP="00D15BC0">
            <w:pPr>
              <w:jc w:val="center"/>
              <w:rPr>
                <w:bCs/>
              </w:rPr>
            </w:pPr>
            <w:r w:rsidRPr="00494753">
              <w:rPr>
                <w:bCs/>
              </w:rPr>
              <w:t>7.33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494753" w:rsidRDefault="00157F16" w:rsidP="00D15BC0">
            <w:pPr>
              <w:jc w:val="center"/>
              <w:rPr>
                <w:bCs/>
              </w:rPr>
            </w:pPr>
            <w:r w:rsidRPr="00494753">
              <w:rPr>
                <w:bCs/>
              </w:rPr>
              <w:t>6.77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Default="00157F16" w:rsidP="00D15BC0">
            <w:pPr>
              <w:jc w:val="right"/>
            </w:pPr>
            <w:r w:rsidRPr="00523BB3">
              <w:t>3rd Quarter, 2015</w:t>
            </w:r>
          </w:p>
        </w:tc>
        <w:tc>
          <w:tcPr>
            <w:tcW w:w="1775" w:type="dxa"/>
            <w:shd w:val="clear" w:color="auto" w:fill="auto"/>
            <w:noWrap/>
          </w:tcPr>
          <w:p w:rsidR="00157F16" w:rsidRPr="00BE176B" w:rsidRDefault="00157F16" w:rsidP="00D15BC0">
            <w:pPr>
              <w:jc w:val="center"/>
            </w:pPr>
            <w:r w:rsidRPr="00BE176B">
              <w:t>8.54</w:t>
            </w:r>
          </w:p>
        </w:tc>
        <w:tc>
          <w:tcPr>
            <w:tcW w:w="1909" w:type="dxa"/>
            <w:shd w:val="clear" w:color="auto" w:fill="auto"/>
            <w:noWrap/>
          </w:tcPr>
          <w:p w:rsidR="00157F16" w:rsidRPr="00BE176B" w:rsidRDefault="00157F16" w:rsidP="00D15BC0">
            <w:pPr>
              <w:jc w:val="center"/>
            </w:pPr>
            <w:r w:rsidRPr="00BE176B">
              <w:t>10.29</w:t>
            </w:r>
          </w:p>
        </w:tc>
        <w:tc>
          <w:tcPr>
            <w:tcW w:w="1781" w:type="dxa"/>
            <w:shd w:val="clear" w:color="auto" w:fill="auto"/>
          </w:tcPr>
          <w:p w:rsidR="00157F16" w:rsidRPr="00BE176B" w:rsidRDefault="00157F16" w:rsidP="00D15BC0">
            <w:pPr>
              <w:jc w:val="center"/>
            </w:pPr>
            <w:r w:rsidRPr="00BE176B">
              <w:t>6.48</w:t>
            </w:r>
          </w:p>
        </w:tc>
        <w:tc>
          <w:tcPr>
            <w:tcW w:w="1775" w:type="dxa"/>
            <w:shd w:val="clear" w:color="auto" w:fill="auto"/>
            <w:noWrap/>
          </w:tcPr>
          <w:p w:rsidR="00157F16" w:rsidRDefault="00157F16" w:rsidP="00D15BC0">
            <w:pPr>
              <w:jc w:val="center"/>
            </w:pPr>
            <w:r w:rsidRPr="00BE176B">
              <w:t>7.78</w:t>
            </w:r>
          </w:p>
        </w:tc>
      </w:tr>
      <w:tr w:rsidR="00157F1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157F16" w:rsidRPr="00523BB3" w:rsidRDefault="00157F16" w:rsidP="00D15BC0">
            <w:pPr>
              <w:jc w:val="right"/>
            </w:pPr>
            <w:r>
              <w:t>4</w:t>
            </w:r>
            <w:r w:rsidRPr="00A428C8">
              <w:rPr>
                <w:vertAlign w:val="superscript"/>
              </w:rPr>
              <w:t>th</w:t>
            </w:r>
            <w:r>
              <w:t xml:space="preserve"> Quarter, 2015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8.41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11.19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6.6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7.06</w:t>
            </w:r>
          </w:p>
        </w:tc>
      </w:tr>
      <w:tr w:rsidR="00047B30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047B30" w:rsidRDefault="00047B30" w:rsidP="00047B30">
            <w:pPr>
              <w:jc w:val="right"/>
            </w:pPr>
            <w:r>
              <w:t>1</w:t>
            </w:r>
            <w:r w:rsidRPr="00047B30">
              <w:rPr>
                <w:vertAlign w:val="superscript"/>
              </w:rPr>
              <w:t>st</w:t>
            </w:r>
            <w:r>
              <w:t xml:space="preserve"> Quarter, 2016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8.19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10.11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7.55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6.94</w:t>
            </w:r>
          </w:p>
        </w:tc>
      </w:tr>
      <w:tr w:rsidR="00325D3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325D36" w:rsidRDefault="00325D36" w:rsidP="00325D36">
            <w:pPr>
              <w:jc w:val="right"/>
            </w:pPr>
            <w:r>
              <w:t>2</w:t>
            </w:r>
            <w:r w:rsidRPr="00325D36">
              <w:rPr>
                <w:vertAlign w:val="superscript"/>
              </w:rPr>
              <w:t>nd</w:t>
            </w:r>
            <w:r>
              <w:t xml:space="preserve"> Quarter, 2016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7.13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10.81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8</w:t>
            </w:r>
            <w:r>
              <w:t>.00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7.15</w:t>
            </w:r>
          </w:p>
        </w:tc>
      </w:tr>
      <w:tr w:rsidR="00E21CA1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E21CA1" w:rsidRDefault="00E21CA1" w:rsidP="00325D36">
            <w:pPr>
              <w:jc w:val="right"/>
            </w:pPr>
            <w:r>
              <w:t>3</w:t>
            </w:r>
            <w:r w:rsidRPr="00E21CA1">
              <w:rPr>
                <w:vertAlign w:val="superscript"/>
              </w:rPr>
              <w:t>rd</w:t>
            </w:r>
            <w:r>
              <w:t xml:space="preserve"> Quarter, 2016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E21CA1" w:rsidRPr="00325D36" w:rsidRDefault="00E21CA1" w:rsidP="00325D36">
            <w:pPr>
              <w:jc w:val="center"/>
            </w:pPr>
            <w:r>
              <w:t>7.61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E21CA1" w:rsidRPr="00325D36" w:rsidRDefault="00E21CA1" w:rsidP="00325D36">
            <w:pPr>
              <w:jc w:val="center"/>
            </w:pPr>
            <w:r>
              <w:t>10.7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E21CA1" w:rsidRPr="00325D36" w:rsidRDefault="00E21CA1" w:rsidP="00325D36">
            <w:pPr>
              <w:jc w:val="center"/>
            </w:pPr>
            <w:r>
              <w:t>8.34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E21CA1" w:rsidRPr="00325D36" w:rsidRDefault="00E21CA1" w:rsidP="00325D36">
            <w:pPr>
              <w:jc w:val="center"/>
            </w:pPr>
            <w:r>
              <w:t>6.66</w:t>
            </w:r>
          </w:p>
        </w:tc>
      </w:tr>
      <w:tr w:rsidR="00881450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881450" w:rsidRDefault="00881450" w:rsidP="00881450">
            <w:pPr>
              <w:jc w:val="right"/>
            </w:pPr>
            <w:r>
              <w:t>4</w:t>
            </w:r>
            <w:r w:rsidRPr="00881450">
              <w:rPr>
                <w:vertAlign w:val="superscript"/>
              </w:rPr>
              <w:t>th</w:t>
            </w:r>
            <w:r>
              <w:t xml:space="preserve"> Quarter, 2016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8.44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9.59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881450" w:rsidRPr="00881450" w:rsidRDefault="00881450" w:rsidP="00881450">
            <w:pPr>
              <w:jc w:val="center"/>
            </w:pPr>
            <w:r>
              <w:t>7.75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6.2</w:t>
            </w:r>
            <w:r w:rsidR="0030004C">
              <w:t>0</w:t>
            </w:r>
          </w:p>
        </w:tc>
      </w:tr>
      <w:tr w:rsidR="00521293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521293" w:rsidRDefault="00521293" w:rsidP="00521293">
            <w:pPr>
              <w:jc w:val="right"/>
            </w:pPr>
            <w:r w:rsidRPr="00521293">
              <w:t>1</w:t>
            </w:r>
            <w:r w:rsidRPr="00521293">
              <w:rPr>
                <w:vertAlign w:val="superscript"/>
              </w:rPr>
              <w:t>st</w:t>
            </w:r>
            <w:r>
              <w:t xml:space="preserve"> </w:t>
            </w:r>
            <w:r w:rsidRPr="00521293">
              <w:t>Quarter, 2017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8.68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9.83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8.53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7.78</w:t>
            </w:r>
          </w:p>
        </w:tc>
      </w:tr>
      <w:tr w:rsidR="00E13D66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E13D66" w:rsidRPr="00521293" w:rsidRDefault="00E13D66" w:rsidP="00E13D66">
            <w:pPr>
              <w:jc w:val="right"/>
            </w:pPr>
            <w:r>
              <w:t>2</w:t>
            </w:r>
            <w:r w:rsidRPr="00E13D66">
              <w:rPr>
                <w:vertAlign w:val="superscript"/>
              </w:rPr>
              <w:t>nd</w:t>
            </w:r>
            <w:r>
              <w:t xml:space="preserve"> Quarter, 2017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9.70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9.01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7.91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6.82</w:t>
            </w:r>
          </w:p>
        </w:tc>
      </w:tr>
      <w:tr w:rsidR="0091117C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91117C" w:rsidRDefault="0091117C" w:rsidP="0091117C">
            <w:pPr>
              <w:jc w:val="right"/>
            </w:pPr>
            <w:r>
              <w:t>3</w:t>
            </w:r>
            <w:r w:rsidRPr="0091117C">
              <w:rPr>
                <w:vertAlign w:val="superscript"/>
              </w:rPr>
              <w:t>rd</w:t>
            </w:r>
            <w:r>
              <w:t xml:space="preserve"> Quarter, 2017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91117C" w:rsidRPr="0091117C" w:rsidRDefault="0091117C" w:rsidP="0091117C">
            <w:pPr>
              <w:jc w:val="center"/>
              <w:rPr>
                <w:bCs/>
              </w:rPr>
            </w:pPr>
            <w:r w:rsidRPr="0091117C">
              <w:rPr>
                <w:bCs/>
              </w:rPr>
              <w:t>10.21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91117C" w:rsidRPr="0091117C" w:rsidRDefault="0091117C" w:rsidP="0091117C">
            <w:pPr>
              <w:jc w:val="center"/>
              <w:rPr>
                <w:bCs/>
              </w:rPr>
            </w:pPr>
            <w:r w:rsidRPr="0091117C">
              <w:rPr>
                <w:bCs/>
              </w:rPr>
              <w:t>11.32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91117C" w:rsidRPr="0091117C" w:rsidRDefault="0091117C" w:rsidP="0091117C">
            <w:pPr>
              <w:jc w:val="center"/>
              <w:rPr>
                <w:bCs/>
              </w:rPr>
            </w:pPr>
            <w:r w:rsidRPr="0091117C">
              <w:rPr>
                <w:bCs/>
              </w:rPr>
              <w:t>7.61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91117C" w:rsidRPr="0091117C" w:rsidRDefault="0091117C" w:rsidP="0091117C">
            <w:pPr>
              <w:jc w:val="center"/>
              <w:rPr>
                <w:bCs/>
              </w:rPr>
            </w:pPr>
            <w:r w:rsidRPr="0091117C">
              <w:rPr>
                <w:bCs/>
              </w:rPr>
              <w:t>6.61</w:t>
            </w:r>
          </w:p>
        </w:tc>
      </w:tr>
      <w:tr w:rsidR="00974A5D" w:rsidRPr="00BB04B1" w:rsidTr="00047B30">
        <w:trPr>
          <w:trHeight w:val="85"/>
        </w:trPr>
        <w:tc>
          <w:tcPr>
            <w:tcW w:w="2095" w:type="dxa"/>
            <w:shd w:val="clear" w:color="auto" w:fill="auto"/>
            <w:noWrap/>
            <w:vAlign w:val="bottom"/>
          </w:tcPr>
          <w:p w:rsidR="00974A5D" w:rsidRDefault="00974A5D" w:rsidP="00974A5D">
            <w:pPr>
              <w:jc w:val="right"/>
            </w:pPr>
            <w:r>
              <w:t>4</w:t>
            </w:r>
            <w:r w:rsidRPr="00974A5D">
              <w:rPr>
                <w:vertAlign w:val="superscript"/>
              </w:rPr>
              <w:t>th</w:t>
            </w:r>
            <w:r>
              <w:t xml:space="preserve"> Quarter, 2017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974A5D" w:rsidRPr="00974A5D" w:rsidRDefault="00974A5D" w:rsidP="00974A5D">
            <w:pPr>
              <w:jc w:val="center"/>
              <w:rPr>
                <w:bCs/>
              </w:rPr>
            </w:pPr>
            <w:r w:rsidRPr="00974A5D">
              <w:rPr>
                <w:bCs/>
              </w:rPr>
              <w:t>10.36</w:t>
            </w:r>
          </w:p>
        </w:tc>
        <w:tc>
          <w:tcPr>
            <w:tcW w:w="1909" w:type="dxa"/>
            <w:shd w:val="clear" w:color="auto" w:fill="auto"/>
            <w:noWrap/>
            <w:vAlign w:val="bottom"/>
          </w:tcPr>
          <w:p w:rsidR="00974A5D" w:rsidRPr="00974A5D" w:rsidRDefault="00974A5D" w:rsidP="00974A5D">
            <w:pPr>
              <w:jc w:val="center"/>
              <w:rPr>
                <w:bCs/>
              </w:rPr>
            </w:pPr>
            <w:r w:rsidRPr="00974A5D">
              <w:rPr>
                <w:bCs/>
              </w:rPr>
              <w:t>10.99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974A5D" w:rsidRPr="00974A5D" w:rsidRDefault="00974A5D" w:rsidP="00974A5D">
            <w:pPr>
              <w:jc w:val="center"/>
              <w:rPr>
                <w:bCs/>
              </w:rPr>
            </w:pPr>
            <w:r w:rsidRPr="00974A5D">
              <w:rPr>
                <w:bCs/>
              </w:rPr>
              <w:t>8.33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:rsidR="00974A5D" w:rsidRPr="00974A5D" w:rsidRDefault="00974A5D" w:rsidP="00974A5D">
            <w:pPr>
              <w:jc w:val="center"/>
              <w:rPr>
                <w:bCs/>
              </w:rPr>
            </w:pPr>
            <w:r w:rsidRPr="00974A5D">
              <w:rPr>
                <w:bCs/>
              </w:rPr>
              <w:t>6.97</w:t>
            </w:r>
          </w:p>
        </w:tc>
      </w:tr>
    </w:tbl>
    <w:p w:rsidR="00157F16" w:rsidRPr="00005871" w:rsidRDefault="00157F16" w:rsidP="00157F16">
      <w:pPr>
        <w:rPr>
          <w:sz w:val="22"/>
          <w:szCs w:val="22"/>
        </w:rPr>
      </w:pPr>
    </w:p>
    <w:p w:rsidR="00157F16" w:rsidRPr="00D8403C" w:rsidRDefault="00157F16" w:rsidP="00157F16">
      <w:r>
        <w:br w:type="page"/>
        <w:t>Average</w:t>
      </w:r>
      <w:r w:rsidRPr="00D8403C">
        <w:t xml:space="preserve"> backlog measured in months by company size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25"/>
        <w:gridCol w:w="1831"/>
        <w:gridCol w:w="1814"/>
        <w:gridCol w:w="1800"/>
        <w:gridCol w:w="1890"/>
      </w:tblGrid>
      <w:tr w:rsidR="00157F16" w:rsidRPr="00BB04B1" w:rsidTr="00D15BC0">
        <w:trPr>
          <w:trHeight w:val="350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Quarter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Revenue less than $30 million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$30 million and $50 million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$50 million and $100 million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$100 million or more</w:t>
            </w:r>
          </w:p>
        </w:tc>
      </w:tr>
      <w:tr w:rsidR="00157F16" w:rsidRPr="00BB04B1" w:rsidTr="00D15BC0">
        <w:trPr>
          <w:trHeight w:val="314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2009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5.44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4.99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7.22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9.70</w:t>
            </w:r>
          </w:p>
        </w:tc>
      </w:tr>
      <w:tr w:rsidR="00157F16" w:rsidRPr="00BB04B1" w:rsidTr="00D15BC0">
        <w:trPr>
          <w:trHeight w:val="224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2009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4.79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4.61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7.21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9.12</w:t>
            </w:r>
          </w:p>
        </w:tc>
      </w:tr>
      <w:tr w:rsidR="00157F16" w:rsidRPr="00BB04B1" w:rsidTr="00D15BC0">
        <w:trPr>
          <w:trHeight w:val="287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2009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5.34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4.91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7.35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7.06</w:t>
            </w:r>
          </w:p>
        </w:tc>
      </w:tr>
      <w:tr w:rsidR="00157F16" w:rsidRPr="00BB04B1" w:rsidTr="00D15BC0">
        <w:trPr>
          <w:trHeight w:val="287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2009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4.98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5.49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5.85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8.19</w:t>
            </w:r>
          </w:p>
        </w:tc>
      </w:tr>
      <w:tr w:rsidR="00157F16" w:rsidRPr="00BB04B1" w:rsidTr="00D15BC0">
        <w:trPr>
          <w:trHeight w:val="260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2010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4.98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6.40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6.52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8.35</w:t>
            </w:r>
          </w:p>
        </w:tc>
      </w:tr>
      <w:tr w:rsidR="00157F16" w:rsidRPr="00BB04B1" w:rsidTr="00D15BC0">
        <w:trPr>
          <w:trHeight w:val="269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2010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6.18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7.05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8.34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9.12</w:t>
            </w:r>
          </w:p>
        </w:tc>
      </w:tr>
      <w:tr w:rsidR="00157F16" w:rsidRPr="00BB04B1" w:rsidTr="00D15BC0">
        <w:trPr>
          <w:trHeight w:val="260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2010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6.21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6.64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8.16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8.13</w:t>
            </w:r>
          </w:p>
        </w:tc>
      </w:tr>
      <w:tr w:rsidR="00157F16" w:rsidRPr="00BB04B1" w:rsidTr="00D15BC0">
        <w:trPr>
          <w:trHeight w:val="251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2010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6.28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5.60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8.49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9.13</w:t>
            </w:r>
          </w:p>
        </w:tc>
      </w:tr>
      <w:tr w:rsidR="00157F16" w:rsidRPr="00BB04B1" w:rsidTr="00D15BC0">
        <w:trPr>
          <w:trHeight w:val="179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2011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6.37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6.50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8.98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9.62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2011</w:t>
            </w:r>
          </w:p>
        </w:tc>
        <w:tc>
          <w:tcPr>
            <w:tcW w:w="1831" w:type="dxa"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7.45</w:t>
            </w:r>
          </w:p>
        </w:tc>
        <w:tc>
          <w:tcPr>
            <w:tcW w:w="1814" w:type="dxa"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6.72</w:t>
            </w:r>
          </w:p>
        </w:tc>
        <w:tc>
          <w:tcPr>
            <w:tcW w:w="1800" w:type="dxa"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9.83</w:t>
            </w:r>
          </w:p>
        </w:tc>
        <w:tc>
          <w:tcPr>
            <w:tcW w:w="1890" w:type="dxa"/>
            <w:vAlign w:val="center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9.31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2011</w:t>
            </w:r>
          </w:p>
        </w:tc>
        <w:tc>
          <w:tcPr>
            <w:tcW w:w="1831" w:type="dxa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7.12</w:t>
            </w:r>
          </w:p>
        </w:tc>
        <w:tc>
          <w:tcPr>
            <w:tcW w:w="1814" w:type="dxa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7.25</w:t>
            </w:r>
          </w:p>
        </w:tc>
        <w:tc>
          <w:tcPr>
            <w:tcW w:w="1800" w:type="dxa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9.70</w:t>
            </w:r>
          </w:p>
        </w:tc>
        <w:tc>
          <w:tcPr>
            <w:tcW w:w="1890" w:type="dxa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9.79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2011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7.17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7.42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8.85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57F16" w:rsidRPr="00BB04B1" w:rsidRDefault="00157F16" w:rsidP="00D15BC0">
            <w:pPr>
              <w:jc w:val="center"/>
            </w:pPr>
            <w:r w:rsidRPr="00BB04B1">
              <w:t>9.50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2012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6.72</w:t>
            </w:r>
          </w:p>
        </w:tc>
        <w:tc>
          <w:tcPr>
            <w:tcW w:w="1814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9.33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8.87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9.14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2012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6.89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9.14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9.78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9.62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2012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6.95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10.96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10.12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9.99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2012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6.82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9.87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9.80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10.80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</w:t>
            </w:r>
            <w:r w:rsidRPr="00BB04B1">
              <w:rPr>
                <w:vertAlign w:val="superscript"/>
              </w:rPr>
              <w:t>st</w:t>
            </w:r>
            <w:r w:rsidRPr="00BB04B1">
              <w:t xml:space="preserve"> Quarter, 2013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6.65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8.08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10.53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11.23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2013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6.96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7.58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11.57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12.25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2013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7.31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7.36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11.91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11.15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2013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7.64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7.32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11.52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  <w:color w:val="000000"/>
              </w:rPr>
            </w:pPr>
            <w:r w:rsidRPr="00BB04B1">
              <w:rPr>
                <w:bCs/>
                <w:color w:val="000000"/>
              </w:rPr>
              <w:t>11.11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1st Quarter, 2014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7.16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7.90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10.69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11.70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2</w:t>
            </w:r>
            <w:r w:rsidRPr="00BB04B1">
              <w:rPr>
                <w:vertAlign w:val="superscript"/>
              </w:rPr>
              <w:t>nd</w:t>
            </w:r>
            <w:r w:rsidRPr="00BB04B1">
              <w:t xml:space="preserve"> Quarter, 2014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7.59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8.97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  <w:rPr>
                <w:color w:val="FF0000"/>
              </w:rPr>
            </w:pPr>
            <w:r w:rsidRPr="00BB04B1">
              <w:t>10.30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</w:pPr>
            <w:r w:rsidRPr="00BB04B1">
              <w:t>11.16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3</w:t>
            </w:r>
            <w:r w:rsidRPr="00BB04B1">
              <w:rPr>
                <w:vertAlign w:val="superscript"/>
              </w:rPr>
              <w:t>rd</w:t>
            </w:r>
            <w:r w:rsidRPr="00BB04B1">
              <w:t xml:space="preserve"> Quarter, 2014</w:t>
            </w:r>
          </w:p>
        </w:tc>
        <w:tc>
          <w:tcPr>
            <w:tcW w:w="1831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8.26</w:t>
            </w:r>
          </w:p>
        </w:tc>
        <w:tc>
          <w:tcPr>
            <w:tcW w:w="1814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8.01</w:t>
            </w:r>
          </w:p>
        </w:tc>
        <w:tc>
          <w:tcPr>
            <w:tcW w:w="180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9.94</w:t>
            </w:r>
          </w:p>
        </w:tc>
        <w:tc>
          <w:tcPr>
            <w:tcW w:w="1890" w:type="dxa"/>
            <w:vAlign w:val="bottom"/>
          </w:tcPr>
          <w:p w:rsidR="00157F16" w:rsidRPr="00BB04B1" w:rsidRDefault="00157F16" w:rsidP="00D15BC0">
            <w:pPr>
              <w:jc w:val="center"/>
              <w:rPr>
                <w:bCs/>
              </w:rPr>
            </w:pPr>
            <w:r w:rsidRPr="00BB04B1">
              <w:rPr>
                <w:bCs/>
              </w:rPr>
              <w:t>11.22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BB04B1" w:rsidRDefault="00157F16" w:rsidP="00D15BC0">
            <w:pPr>
              <w:jc w:val="right"/>
            </w:pPr>
            <w:r w:rsidRPr="00BB04B1">
              <w:t>4</w:t>
            </w:r>
            <w:r w:rsidRPr="00BB04B1">
              <w:rPr>
                <w:vertAlign w:val="superscript"/>
              </w:rPr>
              <w:t>th</w:t>
            </w:r>
            <w:r w:rsidRPr="00BB04B1">
              <w:t xml:space="preserve"> Quarter, 2014</w:t>
            </w:r>
          </w:p>
        </w:tc>
        <w:tc>
          <w:tcPr>
            <w:tcW w:w="1831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8.05</w:t>
            </w:r>
          </w:p>
        </w:tc>
        <w:tc>
          <w:tcPr>
            <w:tcW w:w="1814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8.53</w:t>
            </w:r>
          </w:p>
        </w:tc>
        <w:tc>
          <w:tcPr>
            <w:tcW w:w="1800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10.54</w:t>
            </w:r>
          </w:p>
        </w:tc>
        <w:tc>
          <w:tcPr>
            <w:tcW w:w="1890" w:type="dxa"/>
            <w:vAlign w:val="bottom"/>
          </w:tcPr>
          <w:p w:rsidR="00157F16" w:rsidRPr="001339FE" w:rsidRDefault="00157F16" w:rsidP="00D15BC0">
            <w:pPr>
              <w:jc w:val="center"/>
              <w:rPr>
                <w:bCs/>
              </w:rPr>
            </w:pPr>
            <w:r w:rsidRPr="001339FE">
              <w:rPr>
                <w:bCs/>
              </w:rPr>
              <w:t>10.69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9A7E88" w:rsidRDefault="00157F16" w:rsidP="00D15BC0">
            <w:pPr>
              <w:jc w:val="right"/>
            </w:pPr>
            <w:r w:rsidRPr="009A7E88">
              <w:t>1st Quarter, 2015</w:t>
            </w:r>
          </w:p>
        </w:tc>
        <w:tc>
          <w:tcPr>
            <w:tcW w:w="1831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7.28</w:t>
            </w:r>
          </w:p>
        </w:tc>
        <w:tc>
          <w:tcPr>
            <w:tcW w:w="1814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8.75</w:t>
            </w:r>
          </w:p>
        </w:tc>
        <w:tc>
          <w:tcPr>
            <w:tcW w:w="1800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10.45</w:t>
            </w:r>
          </w:p>
        </w:tc>
        <w:tc>
          <w:tcPr>
            <w:tcW w:w="1890" w:type="dxa"/>
            <w:vAlign w:val="bottom"/>
          </w:tcPr>
          <w:p w:rsidR="00157F16" w:rsidRPr="00CC4093" w:rsidRDefault="00157F16" w:rsidP="00D15BC0">
            <w:pPr>
              <w:jc w:val="center"/>
              <w:rPr>
                <w:bCs/>
              </w:rPr>
            </w:pPr>
            <w:r w:rsidRPr="00CC4093">
              <w:rPr>
                <w:bCs/>
              </w:rPr>
              <w:t>10.43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9A7E88" w:rsidRDefault="00157F16" w:rsidP="00D15BC0">
            <w:pPr>
              <w:jc w:val="right"/>
            </w:pPr>
            <w:r>
              <w:t>2</w:t>
            </w:r>
            <w:r w:rsidRPr="00F739BB">
              <w:rPr>
                <w:vertAlign w:val="superscript"/>
              </w:rPr>
              <w:t>nd</w:t>
            </w:r>
            <w:r>
              <w:t xml:space="preserve"> Quarter, 2015</w:t>
            </w:r>
          </w:p>
        </w:tc>
        <w:tc>
          <w:tcPr>
            <w:tcW w:w="1831" w:type="dxa"/>
            <w:vAlign w:val="bottom"/>
          </w:tcPr>
          <w:p w:rsidR="00157F16" w:rsidRPr="00F0488C" w:rsidRDefault="00157F16" w:rsidP="00D15BC0">
            <w:pPr>
              <w:jc w:val="center"/>
              <w:rPr>
                <w:bCs/>
              </w:rPr>
            </w:pPr>
            <w:r w:rsidRPr="00F0488C">
              <w:rPr>
                <w:bCs/>
              </w:rPr>
              <w:t>7.54</w:t>
            </w:r>
          </w:p>
        </w:tc>
        <w:tc>
          <w:tcPr>
            <w:tcW w:w="1814" w:type="dxa"/>
            <w:vAlign w:val="bottom"/>
          </w:tcPr>
          <w:p w:rsidR="00157F16" w:rsidRPr="00F0488C" w:rsidRDefault="00157F16" w:rsidP="00D15BC0">
            <w:pPr>
              <w:jc w:val="center"/>
              <w:rPr>
                <w:bCs/>
              </w:rPr>
            </w:pPr>
            <w:r w:rsidRPr="00F0488C">
              <w:rPr>
                <w:bCs/>
              </w:rPr>
              <w:t>9.61</w:t>
            </w:r>
          </w:p>
        </w:tc>
        <w:tc>
          <w:tcPr>
            <w:tcW w:w="1800" w:type="dxa"/>
            <w:vAlign w:val="bottom"/>
          </w:tcPr>
          <w:p w:rsidR="00157F16" w:rsidRPr="00F0488C" w:rsidRDefault="00157F16" w:rsidP="00D15BC0">
            <w:pPr>
              <w:jc w:val="center"/>
              <w:rPr>
                <w:bCs/>
              </w:rPr>
            </w:pPr>
            <w:r w:rsidRPr="00F0488C">
              <w:rPr>
                <w:bCs/>
              </w:rPr>
              <w:t>10.45</w:t>
            </w:r>
          </w:p>
        </w:tc>
        <w:tc>
          <w:tcPr>
            <w:tcW w:w="1890" w:type="dxa"/>
            <w:vAlign w:val="bottom"/>
          </w:tcPr>
          <w:p w:rsidR="00157F16" w:rsidRPr="00F0488C" w:rsidRDefault="00157F16" w:rsidP="00D15BC0">
            <w:pPr>
              <w:jc w:val="center"/>
              <w:rPr>
                <w:bCs/>
              </w:rPr>
            </w:pPr>
            <w:r w:rsidRPr="00F0488C">
              <w:rPr>
                <w:bCs/>
              </w:rPr>
              <w:t>10.66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Default="00157F16" w:rsidP="00D15BC0">
            <w:pPr>
              <w:jc w:val="right"/>
            </w:pPr>
            <w:r w:rsidRPr="00523BB3">
              <w:t>3rd Quarter, 2015</w:t>
            </w:r>
          </w:p>
        </w:tc>
        <w:tc>
          <w:tcPr>
            <w:tcW w:w="1831" w:type="dxa"/>
          </w:tcPr>
          <w:p w:rsidR="00157F16" w:rsidRPr="003D5529" w:rsidRDefault="00157F16" w:rsidP="00D15BC0">
            <w:pPr>
              <w:jc w:val="center"/>
            </w:pPr>
            <w:r w:rsidRPr="003D5529">
              <w:t>7.26</w:t>
            </w:r>
          </w:p>
        </w:tc>
        <w:tc>
          <w:tcPr>
            <w:tcW w:w="1814" w:type="dxa"/>
          </w:tcPr>
          <w:p w:rsidR="00157F16" w:rsidRPr="003D5529" w:rsidRDefault="00157F16" w:rsidP="00D15BC0">
            <w:pPr>
              <w:jc w:val="center"/>
            </w:pPr>
            <w:r w:rsidRPr="003D5529">
              <w:t>9.87</w:t>
            </w:r>
          </w:p>
        </w:tc>
        <w:tc>
          <w:tcPr>
            <w:tcW w:w="1800" w:type="dxa"/>
          </w:tcPr>
          <w:p w:rsidR="00157F16" w:rsidRPr="003D5529" w:rsidRDefault="00157F16" w:rsidP="00D15BC0">
            <w:pPr>
              <w:jc w:val="center"/>
            </w:pPr>
            <w:r w:rsidRPr="003D5529">
              <w:t>10.28</w:t>
            </w:r>
          </w:p>
        </w:tc>
        <w:tc>
          <w:tcPr>
            <w:tcW w:w="1890" w:type="dxa"/>
          </w:tcPr>
          <w:p w:rsidR="00157F16" w:rsidRDefault="00157F16" w:rsidP="00D15BC0">
            <w:pPr>
              <w:jc w:val="center"/>
            </w:pPr>
            <w:r w:rsidRPr="003D5529">
              <w:t>11.15</w:t>
            </w:r>
          </w:p>
        </w:tc>
      </w:tr>
      <w:tr w:rsidR="00157F16" w:rsidRPr="00BB04B1" w:rsidTr="00D15BC0">
        <w:trPr>
          <w:trHeight w:val="242"/>
        </w:trPr>
        <w:tc>
          <w:tcPr>
            <w:tcW w:w="2025" w:type="dxa"/>
            <w:vAlign w:val="bottom"/>
          </w:tcPr>
          <w:p w:rsidR="00157F16" w:rsidRPr="00523BB3" w:rsidRDefault="00157F16" w:rsidP="00D15BC0">
            <w:pPr>
              <w:jc w:val="right"/>
            </w:pPr>
            <w:r>
              <w:t>4</w:t>
            </w:r>
            <w:r w:rsidRPr="00A428C8">
              <w:rPr>
                <w:vertAlign w:val="superscript"/>
              </w:rPr>
              <w:t>th</w:t>
            </w:r>
            <w:r>
              <w:t xml:space="preserve"> Quarter, 2015</w:t>
            </w:r>
          </w:p>
        </w:tc>
        <w:tc>
          <w:tcPr>
            <w:tcW w:w="1831" w:type="dxa"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7.22</w:t>
            </w:r>
          </w:p>
        </w:tc>
        <w:tc>
          <w:tcPr>
            <w:tcW w:w="1814" w:type="dxa"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12.07</w:t>
            </w:r>
          </w:p>
        </w:tc>
        <w:tc>
          <w:tcPr>
            <w:tcW w:w="1800" w:type="dxa"/>
            <w:vAlign w:val="center"/>
          </w:tcPr>
          <w:p w:rsidR="00157F16" w:rsidRDefault="00157F16" w:rsidP="00D15BC0">
            <w:pPr>
              <w:jc w:val="center"/>
            </w:pPr>
            <w:r>
              <w:t>10.24</w:t>
            </w:r>
          </w:p>
        </w:tc>
        <w:tc>
          <w:tcPr>
            <w:tcW w:w="1890" w:type="dxa"/>
            <w:vAlign w:val="bottom"/>
          </w:tcPr>
          <w:p w:rsidR="00157F16" w:rsidRPr="00A428C8" w:rsidRDefault="00157F16" w:rsidP="00D15BC0">
            <w:pPr>
              <w:jc w:val="center"/>
            </w:pPr>
            <w:r w:rsidRPr="00A428C8">
              <w:t>11.8</w:t>
            </w:r>
          </w:p>
        </w:tc>
      </w:tr>
      <w:tr w:rsidR="00047B30" w:rsidRPr="00BB04B1" w:rsidTr="00325D36">
        <w:trPr>
          <w:trHeight w:val="242"/>
        </w:trPr>
        <w:tc>
          <w:tcPr>
            <w:tcW w:w="2025" w:type="dxa"/>
            <w:vAlign w:val="bottom"/>
          </w:tcPr>
          <w:p w:rsidR="00047B30" w:rsidRDefault="00047B30" w:rsidP="00047B30">
            <w:pPr>
              <w:jc w:val="right"/>
            </w:pPr>
            <w:r>
              <w:t>1</w:t>
            </w:r>
            <w:r w:rsidRPr="00047B30">
              <w:rPr>
                <w:vertAlign w:val="superscript"/>
              </w:rPr>
              <w:t>st</w:t>
            </w:r>
            <w:r>
              <w:t xml:space="preserve"> Quarter, 2016</w:t>
            </w:r>
          </w:p>
        </w:tc>
        <w:tc>
          <w:tcPr>
            <w:tcW w:w="1831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7.36</w:t>
            </w:r>
          </w:p>
        </w:tc>
        <w:tc>
          <w:tcPr>
            <w:tcW w:w="1814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10.80</w:t>
            </w:r>
          </w:p>
        </w:tc>
        <w:tc>
          <w:tcPr>
            <w:tcW w:w="1800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8.65</w:t>
            </w:r>
          </w:p>
        </w:tc>
        <w:tc>
          <w:tcPr>
            <w:tcW w:w="1890" w:type="dxa"/>
            <w:vAlign w:val="bottom"/>
          </w:tcPr>
          <w:p w:rsidR="00047B30" w:rsidRPr="00047B30" w:rsidRDefault="00047B30" w:rsidP="00047B30">
            <w:pPr>
              <w:jc w:val="center"/>
            </w:pPr>
            <w:r w:rsidRPr="00047B30">
              <w:t>12.25</w:t>
            </w:r>
          </w:p>
        </w:tc>
      </w:tr>
      <w:tr w:rsidR="00325D36" w:rsidRPr="00BB04B1" w:rsidTr="00325D36">
        <w:trPr>
          <w:trHeight w:val="242"/>
        </w:trPr>
        <w:tc>
          <w:tcPr>
            <w:tcW w:w="2025" w:type="dxa"/>
            <w:vAlign w:val="bottom"/>
          </w:tcPr>
          <w:p w:rsidR="00325D36" w:rsidRDefault="00325D36" w:rsidP="00325D36">
            <w:pPr>
              <w:jc w:val="right"/>
            </w:pPr>
            <w:r>
              <w:t>2</w:t>
            </w:r>
            <w:r w:rsidRPr="00325D36">
              <w:rPr>
                <w:vertAlign w:val="superscript"/>
              </w:rPr>
              <w:t>nd</w:t>
            </w:r>
            <w:r>
              <w:t xml:space="preserve"> Quarter, 2016</w:t>
            </w:r>
          </w:p>
        </w:tc>
        <w:tc>
          <w:tcPr>
            <w:tcW w:w="1831" w:type="dxa"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7.25</w:t>
            </w:r>
          </w:p>
        </w:tc>
        <w:tc>
          <w:tcPr>
            <w:tcW w:w="1814" w:type="dxa"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9.1</w:t>
            </w:r>
            <w:r w:rsidR="00881450">
              <w:t>0</w:t>
            </w:r>
          </w:p>
        </w:tc>
        <w:tc>
          <w:tcPr>
            <w:tcW w:w="1800" w:type="dxa"/>
            <w:vAlign w:val="center"/>
          </w:tcPr>
          <w:p w:rsidR="00325D36" w:rsidRDefault="00325D36" w:rsidP="00325D36">
            <w:pPr>
              <w:jc w:val="center"/>
            </w:pPr>
            <w:r>
              <w:t>8.98</w:t>
            </w:r>
          </w:p>
        </w:tc>
        <w:tc>
          <w:tcPr>
            <w:tcW w:w="1890" w:type="dxa"/>
            <w:vAlign w:val="bottom"/>
          </w:tcPr>
          <w:p w:rsidR="00325D36" w:rsidRPr="00325D36" w:rsidRDefault="00325D36" w:rsidP="00325D36">
            <w:pPr>
              <w:jc w:val="center"/>
            </w:pPr>
            <w:r w:rsidRPr="00325D36">
              <w:t>14.06</w:t>
            </w:r>
          </w:p>
        </w:tc>
      </w:tr>
      <w:tr w:rsidR="00E21CA1" w:rsidRPr="00BB04B1" w:rsidTr="00325D36">
        <w:trPr>
          <w:trHeight w:val="242"/>
        </w:trPr>
        <w:tc>
          <w:tcPr>
            <w:tcW w:w="2025" w:type="dxa"/>
            <w:vAlign w:val="bottom"/>
          </w:tcPr>
          <w:p w:rsidR="00E21CA1" w:rsidRDefault="00E21CA1" w:rsidP="00325D36">
            <w:pPr>
              <w:jc w:val="right"/>
            </w:pPr>
            <w:r>
              <w:t>3</w:t>
            </w:r>
            <w:r w:rsidRPr="00E21CA1">
              <w:rPr>
                <w:vertAlign w:val="superscript"/>
              </w:rPr>
              <w:t>rd</w:t>
            </w:r>
            <w:r>
              <w:t xml:space="preserve"> Quarter, 2016</w:t>
            </w:r>
          </w:p>
        </w:tc>
        <w:tc>
          <w:tcPr>
            <w:tcW w:w="1831" w:type="dxa"/>
            <w:vAlign w:val="bottom"/>
          </w:tcPr>
          <w:p w:rsidR="00E21CA1" w:rsidRPr="00325D36" w:rsidRDefault="00E21CA1" w:rsidP="00325D36">
            <w:pPr>
              <w:jc w:val="center"/>
            </w:pPr>
            <w:r>
              <w:t>7.50</w:t>
            </w:r>
          </w:p>
        </w:tc>
        <w:tc>
          <w:tcPr>
            <w:tcW w:w="1814" w:type="dxa"/>
            <w:vAlign w:val="bottom"/>
          </w:tcPr>
          <w:p w:rsidR="00E21CA1" w:rsidRPr="00325D36" w:rsidRDefault="00E21CA1" w:rsidP="00325D36">
            <w:pPr>
              <w:jc w:val="center"/>
            </w:pPr>
            <w:r>
              <w:t>7.79</w:t>
            </w:r>
          </w:p>
        </w:tc>
        <w:tc>
          <w:tcPr>
            <w:tcW w:w="1800" w:type="dxa"/>
            <w:vAlign w:val="center"/>
          </w:tcPr>
          <w:p w:rsidR="00E21CA1" w:rsidRDefault="00E21CA1" w:rsidP="00325D36">
            <w:pPr>
              <w:jc w:val="center"/>
            </w:pPr>
            <w:r>
              <w:t>9.35</w:t>
            </w:r>
          </w:p>
        </w:tc>
        <w:tc>
          <w:tcPr>
            <w:tcW w:w="1890" w:type="dxa"/>
            <w:vAlign w:val="bottom"/>
          </w:tcPr>
          <w:p w:rsidR="00E21CA1" w:rsidRPr="00325D36" w:rsidRDefault="00E21CA1" w:rsidP="00325D36">
            <w:pPr>
              <w:jc w:val="center"/>
            </w:pPr>
            <w:r>
              <w:t>13.72</w:t>
            </w:r>
          </w:p>
        </w:tc>
      </w:tr>
      <w:tr w:rsidR="00881450" w:rsidRPr="00BB04B1" w:rsidTr="0030004C">
        <w:trPr>
          <w:trHeight w:val="242"/>
        </w:trPr>
        <w:tc>
          <w:tcPr>
            <w:tcW w:w="2025" w:type="dxa"/>
            <w:vAlign w:val="bottom"/>
          </w:tcPr>
          <w:p w:rsidR="00881450" w:rsidRDefault="00881450" w:rsidP="00881450">
            <w:pPr>
              <w:jc w:val="right"/>
            </w:pPr>
            <w:r>
              <w:t>4</w:t>
            </w:r>
            <w:r w:rsidRPr="00881450">
              <w:rPr>
                <w:vertAlign w:val="superscript"/>
              </w:rPr>
              <w:t>th</w:t>
            </w:r>
            <w:r>
              <w:t xml:space="preserve"> Quarter, 2016</w:t>
            </w:r>
          </w:p>
        </w:tc>
        <w:tc>
          <w:tcPr>
            <w:tcW w:w="1831" w:type="dxa"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7.47</w:t>
            </w:r>
          </w:p>
        </w:tc>
        <w:tc>
          <w:tcPr>
            <w:tcW w:w="1814" w:type="dxa"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8.26</w:t>
            </w:r>
          </w:p>
        </w:tc>
        <w:tc>
          <w:tcPr>
            <w:tcW w:w="1800" w:type="dxa"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9.22</w:t>
            </w:r>
          </w:p>
        </w:tc>
        <w:tc>
          <w:tcPr>
            <w:tcW w:w="1890" w:type="dxa"/>
            <w:vAlign w:val="bottom"/>
          </w:tcPr>
          <w:p w:rsidR="00881450" w:rsidRPr="00881450" w:rsidRDefault="00881450" w:rsidP="00881450">
            <w:pPr>
              <w:jc w:val="center"/>
            </w:pPr>
            <w:r w:rsidRPr="00881450">
              <w:t>10.79</w:t>
            </w:r>
          </w:p>
        </w:tc>
      </w:tr>
      <w:tr w:rsidR="00521293" w:rsidRPr="00BB04B1" w:rsidTr="0030004C">
        <w:trPr>
          <w:trHeight w:val="242"/>
        </w:trPr>
        <w:tc>
          <w:tcPr>
            <w:tcW w:w="2025" w:type="dxa"/>
            <w:vAlign w:val="bottom"/>
          </w:tcPr>
          <w:p w:rsidR="00521293" w:rsidRDefault="00521293" w:rsidP="00521293">
            <w:pPr>
              <w:jc w:val="right"/>
            </w:pPr>
            <w:r w:rsidRPr="00521293">
              <w:t>1</w:t>
            </w:r>
            <w:r w:rsidRPr="00521293">
              <w:rPr>
                <w:vertAlign w:val="superscript"/>
              </w:rPr>
              <w:t>st</w:t>
            </w:r>
            <w:r>
              <w:t xml:space="preserve"> </w:t>
            </w:r>
            <w:r w:rsidRPr="00521293">
              <w:t>Quarter, 2017</w:t>
            </w:r>
          </w:p>
        </w:tc>
        <w:tc>
          <w:tcPr>
            <w:tcW w:w="1831" w:type="dxa"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7.86</w:t>
            </w:r>
          </w:p>
        </w:tc>
        <w:tc>
          <w:tcPr>
            <w:tcW w:w="1814" w:type="dxa"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10.28</w:t>
            </w:r>
          </w:p>
        </w:tc>
        <w:tc>
          <w:tcPr>
            <w:tcW w:w="1800" w:type="dxa"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9.67</w:t>
            </w:r>
          </w:p>
        </w:tc>
        <w:tc>
          <w:tcPr>
            <w:tcW w:w="1890" w:type="dxa"/>
            <w:vAlign w:val="bottom"/>
          </w:tcPr>
          <w:p w:rsidR="00521293" w:rsidRPr="00521293" w:rsidRDefault="00521293" w:rsidP="00521293">
            <w:pPr>
              <w:jc w:val="center"/>
            </w:pPr>
            <w:r w:rsidRPr="00521293">
              <w:t>11.80</w:t>
            </w:r>
          </w:p>
        </w:tc>
      </w:tr>
      <w:tr w:rsidR="00E13D66" w:rsidRPr="00BB04B1" w:rsidTr="0030004C">
        <w:trPr>
          <w:trHeight w:val="242"/>
        </w:trPr>
        <w:tc>
          <w:tcPr>
            <w:tcW w:w="2025" w:type="dxa"/>
            <w:vAlign w:val="bottom"/>
          </w:tcPr>
          <w:p w:rsidR="00E13D66" w:rsidRPr="00521293" w:rsidRDefault="00E13D66" w:rsidP="00E13D66">
            <w:pPr>
              <w:jc w:val="right"/>
            </w:pPr>
            <w:r>
              <w:t>2</w:t>
            </w:r>
            <w:r w:rsidRPr="00E13D66">
              <w:rPr>
                <w:vertAlign w:val="superscript"/>
              </w:rPr>
              <w:t>nd</w:t>
            </w:r>
            <w:r>
              <w:t xml:space="preserve"> Quarter, 2017</w:t>
            </w:r>
          </w:p>
        </w:tc>
        <w:tc>
          <w:tcPr>
            <w:tcW w:w="1831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7.52</w:t>
            </w:r>
          </w:p>
        </w:tc>
        <w:tc>
          <w:tcPr>
            <w:tcW w:w="1814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10.90</w:t>
            </w:r>
          </w:p>
        </w:tc>
        <w:tc>
          <w:tcPr>
            <w:tcW w:w="1800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9.20</w:t>
            </w:r>
          </w:p>
        </w:tc>
        <w:tc>
          <w:tcPr>
            <w:tcW w:w="1890" w:type="dxa"/>
            <w:vAlign w:val="bottom"/>
          </w:tcPr>
          <w:p w:rsidR="00E13D66" w:rsidRPr="00E13D66" w:rsidRDefault="00E13D66" w:rsidP="00E13D66">
            <w:pPr>
              <w:jc w:val="center"/>
            </w:pPr>
            <w:r w:rsidRPr="00E13D66">
              <w:t>11.11</w:t>
            </w:r>
          </w:p>
        </w:tc>
      </w:tr>
      <w:tr w:rsidR="0091117C" w:rsidRPr="00BB04B1" w:rsidTr="0030004C">
        <w:trPr>
          <w:trHeight w:val="242"/>
        </w:trPr>
        <w:tc>
          <w:tcPr>
            <w:tcW w:w="2025" w:type="dxa"/>
            <w:vAlign w:val="bottom"/>
          </w:tcPr>
          <w:p w:rsidR="0091117C" w:rsidRDefault="0091117C" w:rsidP="0091117C">
            <w:pPr>
              <w:jc w:val="right"/>
            </w:pPr>
            <w:r>
              <w:t>3</w:t>
            </w:r>
            <w:r w:rsidRPr="0091117C">
              <w:rPr>
                <w:vertAlign w:val="superscript"/>
              </w:rPr>
              <w:t>rd</w:t>
            </w:r>
            <w:r>
              <w:t xml:space="preserve"> Quarter, 2017</w:t>
            </w:r>
          </w:p>
        </w:tc>
        <w:tc>
          <w:tcPr>
            <w:tcW w:w="1831" w:type="dxa"/>
            <w:vAlign w:val="bottom"/>
          </w:tcPr>
          <w:p w:rsidR="0091117C" w:rsidRPr="0091117C" w:rsidRDefault="0091117C" w:rsidP="0091117C">
            <w:pPr>
              <w:jc w:val="center"/>
            </w:pPr>
            <w:r w:rsidRPr="0091117C">
              <w:t>7.74</w:t>
            </w:r>
          </w:p>
        </w:tc>
        <w:tc>
          <w:tcPr>
            <w:tcW w:w="1814" w:type="dxa"/>
            <w:vAlign w:val="bottom"/>
          </w:tcPr>
          <w:p w:rsidR="0091117C" w:rsidRPr="0091117C" w:rsidRDefault="0091117C" w:rsidP="0091117C">
            <w:pPr>
              <w:jc w:val="center"/>
            </w:pPr>
            <w:r w:rsidRPr="0091117C">
              <w:t>11.37</w:t>
            </w:r>
          </w:p>
        </w:tc>
        <w:tc>
          <w:tcPr>
            <w:tcW w:w="1800" w:type="dxa"/>
            <w:vAlign w:val="bottom"/>
          </w:tcPr>
          <w:p w:rsidR="0091117C" w:rsidRPr="0091117C" w:rsidRDefault="0091117C" w:rsidP="0091117C">
            <w:pPr>
              <w:jc w:val="center"/>
            </w:pPr>
            <w:r w:rsidRPr="0091117C">
              <w:t>11.55</w:t>
            </w:r>
          </w:p>
        </w:tc>
        <w:tc>
          <w:tcPr>
            <w:tcW w:w="1890" w:type="dxa"/>
            <w:vAlign w:val="bottom"/>
          </w:tcPr>
          <w:p w:rsidR="0091117C" w:rsidRPr="0091117C" w:rsidRDefault="0091117C" w:rsidP="0091117C">
            <w:pPr>
              <w:jc w:val="center"/>
            </w:pPr>
            <w:r w:rsidRPr="0091117C">
              <w:t>13.81</w:t>
            </w:r>
          </w:p>
        </w:tc>
      </w:tr>
      <w:tr w:rsidR="00974A5D" w:rsidRPr="00BB04B1" w:rsidTr="0030004C">
        <w:trPr>
          <w:trHeight w:val="242"/>
        </w:trPr>
        <w:tc>
          <w:tcPr>
            <w:tcW w:w="2025" w:type="dxa"/>
            <w:vAlign w:val="bottom"/>
          </w:tcPr>
          <w:p w:rsidR="00974A5D" w:rsidRDefault="00974A5D" w:rsidP="00974A5D">
            <w:pPr>
              <w:jc w:val="right"/>
            </w:pPr>
            <w:r>
              <w:t>4</w:t>
            </w:r>
            <w:r w:rsidRPr="00881450">
              <w:rPr>
                <w:vertAlign w:val="superscript"/>
              </w:rPr>
              <w:t>th</w:t>
            </w:r>
            <w:r>
              <w:t xml:space="preserve"> Quarter, 2017</w:t>
            </w:r>
          </w:p>
        </w:tc>
        <w:tc>
          <w:tcPr>
            <w:tcW w:w="1831" w:type="dxa"/>
            <w:vAlign w:val="bottom"/>
          </w:tcPr>
          <w:p w:rsidR="00974A5D" w:rsidRPr="00974A5D" w:rsidRDefault="00974A5D" w:rsidP="00974A5D">
            <w:pPr>
              <w:jc w:val="center"/>
            </w:pPr>
            <w:r w:rsidRPr="00974A5D">
              <w:t>7.77</w:t>
            </w:r>
          </w:p>
        </w:tc>
        <w:tc>
          <w:tcPr>
            <w:tcW w:w="1814" w:type="dxa"/>
            <w:vAlign w:val="bottom"/>
          </w:tcPr>
          <w:p w:rsidR="00974A5D" w:rsidRPr="00974A5D" w:rsidRDefault="00974A5D" w:rsidP="00974A5D">
            <w:pPr>
              <w:jc w:val="center"/>
            </w:pPr>
            <w:r w:rsidRPr="00974A5D">
              <w:t>11.89</w:t>
            </w:r>
          </w:p>
        </w:tc>
        <w:tc>
          <w:tcPr>
            <w:tcW w:w="1800" w:type="dxa"/>
            <w:vAlign w:val="bottom"/>
          </w:tcPr>
          <w:p w:rsidR="00974A5D" w:rsidRPr="00974A5D" w:rsidRDefault="00974A5D" w:rsidP="00974A5D">
            <w:pPr>
              <w:jc w:val="center"/>
            </w:pPr>
            <w:r w:rsidRPr="00974A5D">
              <w:t>10.73</w:t>
            </w:r>
          </w:p>
        </w:tc>
        <w:tc>
          <w:tcPr>
            <w:tcW w:w="1890" w:type="dxa"/>
            <w:vAlign w:val="bottom"/>
          </w:tcPr>
          <w:p w:rsidR="00974A5D" w:rsidRPr="00974A5D" w:rsidRDefault="00974A5D" w:rsidP="00974A5D">
            <w:pPr>
              <w:jc w:val="center"/>
            </w:pPr>
            <w:r w:rsidRPr="00974A5D">
              <w:t>14.58</w:t>
            </w:r>
          </w:p>
        </w:tc>
      </w:tr>
    </w:tbl>
    <w:p w:rsidR="00157F16" w:rsidRDefault="00157F16" w:rsidP="00157F16">
      <w:pPr>
        <w:spacing w:line="276" w:lineRule="auto"/>
      </w:pPr>
      <w:r w:rsidRPr="00D8403C">
        <w:br w:type="page"/>
        <w:t xml:space="preserve"> </w:t>
      </w:r>
    </w:p>
    <w:p w:rsidR="00157F16" w:rsidRPr="00D8403C" w:rsidRDefault="00157F16" w:rsidP="00157F16">
      <w:pPr>
        <w:spacing w:after="120"/>
      </w:pPr>
    </w:p>
    <w:p w:rsidR="000510EE" w:rsidRPr="00D8403C" w:rsidRDefault="003E07D0" w:rsidP="00CD625A">
      <w:pPr>
        <w:spacing w:line="276" w:lineRule="auto"/>
      </w:pPr>
      <w:r w:rsidRPr="00D8403C">
        <w:t xml:space="preserve"> </w:t>
      </w:r>
      <w:r w:rsidR="00080545">
        <w:t>Distribution by backlog length</w:t>
      </w:r>
    </w:p>
    <w:p w:rsidR="000510EE" w:rsidRPr="00D8403C" w:rsidRDefault="002F2599" w:rsidP="003E07D0">
      <w:pPr>
        <w:spacing w:after="100" w:afterAutospacing="1"/>
        <w:ind w:left="-270"/>
      </w:pPr>
      <w:r>
        <w:rPr>
          <w:noProof/>
        </w:rPr>
        <w:drawing>
          <wp:inline distT="0" distB="0" distL="0" distR="0" wp14:anchorId="1726DCB8" wp14:editId="48EE34A4">
            <wp:extent cx="5943600" cy="3658761"/>
            <wp:effectExtent l="0" t="0" r="0" b="18415"/>
            <wp:docPr id="3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23640" w:rsidRPr="00D8403C" w:rsidRDefault="00250AE7" w:rsidP="00CD625A">
      <w:pPr>
        <w:spacing w:after="100" w:afterAutospacing="1"/>
        <w:ind w:left="-270"/>
      </w:pPr>
      <w:r>
        <w:rPr>
          <w:noProof/>
        </w:rPr>
        <w:drawing>
          <wp:inline distT="0" distB="0" distL="0" distR="0">
            <wp:extent cx="6252210" cy="3848735"/>
            <wp:effectExtent l="0" t="0" r="15240" b="18415"/>
            <wp:docPr id="4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35A56" w:rsidRPr="00D8403C" w:rsidRDefault="00422A37" w:rsidP="003E1C77">
      <w:pPr>
        <w:ind w:left="-540"/>
      </w:pPr>
      <w:r w:rsidRPr="00D8403C">
        <w:t xml:space="preserve"> </w:t>
      </w:r>
    </w:p>
    <w:p w:rsidR="008549E0" w:rsidRPr="00D8403C" w:rsidRDefault="00FB2F20" w:rsidP="003E1C77">
      <w:pPr>
        <w:ind w:left="-540"/>
      </w:pPr>
      <w:r w:rsidRPr="00D8403C">
        <w:t xml:space="preserve"> </w:t>
      </w:r>
    </w:p>
    <w:p w:rsidR="00E93210" w:rsidRDefault="00250AE7" w:rsidP="00E93210">
      <w:pPr>
        <w:spacing w:after="120"/>
        <w:ind w:left="-288"/>
        <w:jc w:val="center"/>
      </w:pPr>
      <w:r>
        <w:rPr>
          <w:noProof/>
        </w:rPr>
        <w:drawing>
          <wp:inline distT="0" distB="0" distL="0" distR="0">
            <wp:extent cx="6289482" cy="3872285"/>
            <wp:effectExtent l="0" t="0" r="16510" b="13970"/>
            <wp:docPr id="5" name="Objec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93210" w:rsidRDefault="00E93210" w:rsidP="00E93210">
      <w:pPr>
        <w:spacing w:after="120"/>
        <w:ind w:left="-288"/>
        <w:jc w:val="center"/>
      </w:pPr>
    </w:p>
    <w:p w:rsidR="00A31CAD" w:rsidRPr="00D8403C" w:rsidRDefault="00250AE7" w:rsidP="00BD1F9B">
      <w:pPr>
        <w:spacing w:after="240"/>
        <w:ind w:left="-288"/>
        <w:jc w:val="center"/>
      </w:pPr>
      <w:r>
        <w:rPr>
          <w:noProof/>
        </w:rPr>
        <w:drawing>
          <wp:inline distT="0" distB="0" distL="0" distR="0">
            <wp:extent cx="6289482" cy="3888188"/>
            <wp:effectExtent l="0" t="0" r="16510" b="17145"/>
            <wp:docPr id="6" name="Objec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E7432" w:rsidRPr="00D8403C" w:rsidRDefault="00EE7432"/>
    <w:p w:rsidR="00EE7432" w:rsidRDefault="00EE7432"/>
    <w:p w:rsidR="00031EB4" w:rsidRDefault="00031EB4"/>
    <w:p w:rsidR="00031EB4" w:rsidRDefault="00250AE7" w:rsidP="00031EB4">
      <w:pPr>
        <w:spacing w:after="120"/>
      </w:pPr>
      <w:r>
        <w:rPr>
          <w:noProof/>
        </w:rPr>
        <w:drawing>
          <wp:inline distT="0" distB="0" distL="0" distR="0">
            <wp:extent cx="6130456" cy="3745064"/>
            <wp:effectExtent l="0" t="0" r="22860" b="27305"/>
            <wp:docPr id="7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31EB4" w:rsidRDefault="00031EB4"/>
    <w:p w:rsidR="00BB038C" w:rsidRDefault="00F77E48" w:rsidP="000B4F98">
      <w:r>
        <w:rPr>
          <w:noProof/>
        </w:rPr>
        <w:drawing>
          <wp:inline distT="0" distB="0" distL="0" distR="0" wp14:anchorId="1C406A25" wp14:editId="6E34CEED">
            <wp:extent cx="6127668" cy="3645724"/>
            <wp:effectExtent l="0" t="0" r="26035" b="12065"/>
            <wp:docPr id="8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1A751D">
        <w:br w:type="page"/>
      </w:r>
    </w:p>
    <w:p w:rsidR="00BD1169" w:rsidRDefault="003D429F">
      <w:r>
        <w:rPr>
          <w:noProof/>
        </w:rPr>
        <w:drawing>
          <wp:inline distT="0" distB="0" distL="0" distR="0" wp14:anchorId="67722439" wp14:editId="20E492C6">
            <wp:extent cx="6133381" cy="3450566"/>
            <wp:effectExtent l="0" t="0" r="20320" b="17145"/>
            <wp:docPr id="1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D1169" w:rsidRDefault="00BD1169"/>
    <w:p w:rsidR="00794E8F" w:rsidRDefault="00BD1169">
      <w:r>
        <w:rPr>
          <w:noProof/>
        </w:rPr>
        <w:drawing>
          <wp:inline distT="0" distB="0" distL="0" distR="0" wp14:anchorId="33481C9C" wp14:editId="707E4936">
            <wp:extent cx="6134100" cy="3476625"/>
            <wp:effectExtent l="0" t="0" r="19050" b="9525"/>
            <wp:docPr id="17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94E8F" w:rsidRDefault="00794E8F"/>
    <w:p w:rsidR="005A47AE" w:rsidRDefault="00794E8F">
      <w:r>
        <w:rPr>
          <w:noProof/>
        </w:rPr>
        <w:drawing>
          <wp:inline distT="0" distB="0" distL="0" distR="0" wp14:anchorId="02A73766" wp14:editId="6404E59F">
            <wp:extent cx="6162261" cy="3355450"/>
            <wp:effectExtent l="0" t="0" r="10160" b="16510"/>
            <wp:docPr id="18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A47AE" w:rsidRDefault="005A47AE"/>
    <w:p w:rsidR="000524DB" w:rsidRDefault="005A47AE">
      <w:r>
        <w:rPr>
          <w:noProof/>
        </w:rPr>
        <w:drawing>
          <wp:inline distT="0" distB="0" distL="0" distR="0" wp14:anchorId="765D47C0" wp14:editId="73968316">
            <wp:extent cx="6162261" cy="3363401"/>
            <wp:effectExtent l="0" t="0" r="10160" b="27940"/>
            <wp:docPr id="19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524DB" w:rsidRDefault="000524DB"/>
    <w:p w:rsidR="003D429F" w:rsidRDefault="000524DB">
      <w:r>
        <w:rPr>
          <w:noProof/>
        </w:rPr>
        <w:drawing>
          <wp:inline distT="0" distB="0" distL="0" distR="0" wp14:anchorId="3708F9F9" wp14:editId="6E6A88BD">
            <wp:extent cx="6146358" cy="3355450"/>
            <wp:effectExtent l="0" t="0" r="26035" b="16510"/>
            <wp:docPr id="20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8273A" w:rsidRDefault="0028273A"/>
    <w:p w:rsidR="0028273A" w:rsidRDefault="0028273A">
      <w:r>
        <w:rPr>
          <w:noProof/>
        </w:rPr>
        <w:drawing>
          <wp:inline distT="0" distB="0" distL="0" distR="0" wp14:anchorId="4DCAF8F9" wp14:editId="7EBE55C6">
            <wp:extent cx="6146358" cy="3363401"/>
            <wp:effectExtent l="0" t="0" r="26035" b="27940"/>
            <wp:docPr id="2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8273A" w:rsidRDefault="0028273A" w:rsidP="00074E33"/>
    <w:p w:rsidR="0028273A" w:rsidRDefault="0028273A">
      <w:r>
        <w:br w:type="page"/>
      </w:r>
    </w:p>
    <w:p w:rsidR="0028273A" w:rsidRDefault="0028273A" w:rsidP="00074E33"/>
    <w:p w:rsidR="006015C6" w:rsidRDefault="00387784">
      <w:r>
        <w:rPr>
          <w:noProof/>
        </w:rPr>
        <w:drawing>
          <wp:inline distT="0" distB="0" distL="0" distR="0" wp14:anchorId="50342148" wp14:editId="7AEDAA82">
            <wp:extent cx="6154310" cy="3363401"/>
            <wp:effectExtent l="0" t="0" r="18415" b="27940"/>
            <wp:docPr id="26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A43FE5" w:rsidRDefault="00A43FE5"/>
    <w:p w:rsidR="00387784" w:rsidRDefault="006015C6" w:rsidP="00A43FE5">
      <w:pPr>
        <w:spacing w:before="120"/>
      </w:pPr>
      <w:r>
        <w:rPr>
          <w:noProof/>
        </w:rPr>
        <w:drawing>
          <wp:inline distT="0" distB="0" distL="0" distR="0" wp14:anchorId="4D0DE3B1" wp14:editId="28E4D771">
            <wp:extent cx="6154310" cy="3363402"/>
            <wp:effectExtent l="0" t="0" r="18415" b="27940"/>
            <wp:docPr id="27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="00387784">
        <w:br w:type="page"/>
      </w:r>
    </w:p>
    <w:p w:rsidR="00157F16" w:rsidRDefault="00157F16" w:rsidP="00A43FE5">
      <w:pPr>
        <w:spacing w:before="120"/>
      </w:pPr>
      <w:r>
        <w:rPr>
          <w:noProof/>
        </w:rPr>
        <w:drawing>
          <wp:inline distT="0" distB="0" distL="0" distR="0" wp14:anchorId="0BB8195F" wp14:editId="30B205D0">
            <wp:extent cx="5943600" cy="3248097"/>
            <wp:effectExtent l="0" t="0" r="0" b="9525"/>
            <wp:docPr id="28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157F16" w:rsidRDefault="00157F16" w:rsidP="00074E33"/>
    <w:p w:rsidR="00047B30" w:rsidRDefault="00047B30"/>
    <w:p w:rsidR="00157F16" w:rsidRDefault="00047B30">
      <w:r>
        <w:rPr>
          <w:noProof/>
        </w:rPr>
        <w:drawing>
          <wp:inline distT="0" distB="0" distL="0" distR="0" wp14:anchorId="0B519FB7" wp14:editId="5568E7C0">
            <wp:extent cx="5943600" cy="3248025"/>
            <wp:effectExtent l="0" t="0" r="0" b="9525"/>
            <wp:docPr id="30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 w:rsidR="00157F16">
        <w:br w:type="page"/>
      </w:r>
    </w:p>
    <w:p w:rsidR="00E90B8B" w:rsidRDefault="002F2599">
      <w:r>
        <w:rPr>
          <w:noProof/>
        </w:rPr>
        <w:drawing>
          <wp:inline distT="0" distB="0" distL="0" distR="0" wp14:anchorId="07F03CC5" wp14:editId="2657FA8E">
            <wp:extent cx="5943600" cy="3248097"/>
            <wp:effectExtent l="0" t="0" r="0" b="9525"/>
            <wp:docPr id="29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E90B8B" w:rsidRDefault="00E90B8B"/>
    <w:p w:rsidR="00E90B8B" w:rsidRDefault="00E90B8B"/>
    <w:p w:rsidR="00DE7761" w:rsidRDefault="00E90B8B">
      <w:r>
        <w:rPr>
          <w:noProof/>
        </w:rPr>
        <w:drawing>
          <wp:inline distT="0" distB="0" distL="0" distR="0" wp14:anchorId="607CAEA2" wp14:editId="2A446DFF">
            <wp:extent cx="5943600" cy="3248025"/>
            <wp:effectExtent l="0" t="0" r="0" b="9525"/>
            <wp:docPr id="3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 w:rsidR="00DE7761">
        <w:br w:type="page"/>
      </w:r>
    </w:p>
    <w:p w:rsidR="00E13D66" w:rsidRDefault="00E13D66" w:rsidP="00074E33">
      <w:r>
        <w:br/>
      </w:r>
      <w:r>
        <w:rPr>
          <w:noProof/>
        </w:rPr>
        <w:drawing>
          <wp:inline distT="0" distB="0" distL="0" distR="0" wp14:anchorId="3C9D932B" wp14:editId="0423BE74">
            <wp:extent cx="5943600" cy="3248025"/>
            <wp:effectExtent l="0" t="0" r="0" b="9525"/>
            <wp:docPr id="3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974A5D" w:rsidRDefault="00974A5D"/>
    <w:p w:rsidR="00974A5D" w:rsidRDefault="00974A5D"/>
    <w:p w:rsidR="00974A5D" w:rsidRDefault="00974A5D">
      <w:r>
        <w:rPr>
          <w:noProof/>
        </w:rPr>
        <w:drawing>
          <wp:inline distT="0" distB="0" distL="0" distR="0" wp14:anchorId="7F268DF8" wp14:editId="05215F54">
            <wp:extent cx="5943600" cy="3248025"/>
            <wp:effectExtent l="0" t="0" r="0" b="9525"/>
            <wp:docPr id="33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974A5D" w:rsidRDefault="00974A5D">
      <w:r>
        <w:br w:type="page"/>
      </w:r>
    </w:p>
    <w:p w:rsidR="00923640" w:rsidRPr="00D8403C" w:rsidRDefault="00DF51C0" w:rsidP="00074E33">
      <w:r w:rsidRPr="00D8403C">
        <w:t>Median</w:t>
      </w:r>
      <w:r w:rsidR="00923640" w:rsidRPr="00D8403C">
        <w:t xml:space="preserve"> backlog </w:t>
      </w:r>
      <w:r w:rsidR="006F41A4" w:rsidRPr="00D8403C">
        <w:t>in months</w:t>
      </w:r>
      <w:r w:rsidR="00923640" w:rsidRPr="00D8403C">
        <w:t xml:space="preserve"> </w:t>
      </w:r>
      <w:r w:rsidRPr="00D8403C">
        <w:t>for each</w:t>
      </w:r>
      <w:r w:rsidR="00923640" w:rsidRPr="00D8403C">
        <w:t xml:space="preserve"> region, </w:t>
      </w:r>
      <w:r w:rsidR="00ED2039">
        <w:t>Q1</w:t>
      </w:r>
      <w:r w:rsidR="00923640" w:rsidRPr="00D8403C">
        <w:t xml:space="preserve"> 20</w:t>
      </w:r>
      <w:r w:rsidR="00ED2039">
        <w:t>09</w:t>
      </w:r>
      <w:r w:rsidR="00923640" w:rsidRPr="00D8403C">
        <w:t xml:space="preserve"> – </w:t>
      </w:r>
      <w:r w:rsidR="00E90B8B">
        <w:t>Q</w:t>
      </w:r>
      <w:r w:rsidR="00974A5D">
        <w:t>4</w:t>
      </w:r>
      <w:r w:rsidR="00521293">
        <w:t xml:space="preserve"> </w:t>
      </w:r>
      <w:r w:rsidR="00E62550">
        <w:t>201</w:t>
      </w:r>
      <w:r w:rsidR="00521293">
        <w:t>7</w:t>
      </w:r>
    </w:p>
    <w:p w:rsidR="00923640" w:rsidRPr="00D8403C" w:rsidRDefault="00250AE7" w:rsidP="00543536">
      <w:pPr>
        <w:spacing w:after="100" w:afterAutospacing="1"/>
        <w:jc w:val="center"/>
      </w:pPr>
      <w:r>
        <w:rPr>
          <w:noProof/>
        </w:rPr>
        <w:drawing>
          <wp:inline distT="0" distB="0" distL="0" distR="0">
            <wp:extent cx="5975350" cy="3402330"/>
            <wp:effectExtent l="0" t="0" r="25400" b="26670"/>
            <wp:docPr id="9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E635CD" w:rsidRPr="00D8403C" w:rsidRDefault="00250AE7" w:rsidP="00074E33">
      <w:pPr>
        <w:spacing w:after="100" w:afterAutospacing="1"/>
        <w:jc w:val="center"/>
      </w:pPr>
      <w:r>
        <w:rPr>
          <w:noProof/>
        </w:rPr>
        <w:drawing>
          <wp:inline distT="0" distB="0" distL="0" distR="0">
            <wp:extent cx="5975350" cy="3519170"/>
            <wp:effectExtent l="0" t="0" r="25400" b="24130"/>
            <wp:docPr id="10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923640" w:rsidRDefault="00923640" w:rsidP="000F147F">
      <w:pPr>
        <w:spacing w:after="100" w:afterAutospacing="1"/>
        <w:rPr>
          <w:noProof/>
          <w:lang w:eastAsia="ja-JP"/>
        </w:rPr>
      </w:pPr>
    </w:p>
    <w:p w:rsidR="00944691" w:rsidRPr="00D8403C" w:rsidRDefault="00944691" w:rsidP="000F147F">
      <w:pPr>
        <w:spacing w:after="100" w:afterAutospacing="1"/>
      </w:pPr>
      <w:r w:rsidRPr="00944691">
        <w:rPr>
          <w:noProof/>
        </w:rPr>
        <w:drawing>
          <wp:inline distT="0" distB="0" distL="0" distR="0">
            <wp:extent cx="5911850" cy="3370580"/>
            <wp:effectExtent l="0" t="0" r="12700" b="20320"/>
            <wp:docPr id="2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D221F4" w:rsidRPr="00D8403C" w:rsidRDefault="00250AE7" w:rsidP="00074E33">
      <w:pPr>
        <w:spacing w:after="100" w:afterAutospacing="1"/>
        <w:rPr>
          <w:noProof/>
          <w:lang w:eastAsia="ja-JP"/>
        </w:rPr>
      </w:pPr>
      <w:r>
        <w:rPr>
          <w:noProof/>
        </w:rPr>
        <w:drawing>
          <wp:inline distT="0" distB="0" distL="0" distR="0">
            <wp:extent cx="5911850" cy="3370580"/>
            <wp:effectExtent l="0" t="0" r="12700" b="20320"/>
            <wp:docPr id="1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D221F4" w:rsidRPr="00D8403C" w:rsidRDefault="00D221F4" w:rsidP="00610D65">
      <w:pPr>
        <w:spacing w:after="100" w:afterAutospacing="1"/>
        <w:ind w:left="-576"/>
      </w:pPr>
    </w:p>
    <w:p w:rsidR="00B35A56" w:rsidRPr="00D8403C" w:rsidRDefault="00B35A56" w:rsidP="00610D65">
      <w:pPr>
        <w:spacing w:after="100" w:afterAutospacing="1"/>
        <w:ind w:left="-576"/>
      </w:pPr>
    </w:p>
    <w:p w:rsidR="00D221F4" w:rsidRPr="00D8403C" w:rsidRDefault="00D221F4" w:rsidP="00610D65">
      <w:pPr>
        <w:spacing w:after="100" w:afterAutospacing="1"/>
        <w:ind w:left="-576"/>
      </w:pPr>
    </w:p>
    <w:p w:rsidR="00E635CD" w:rsidRPr="00D8403C" w:rsidRDefault="00E635CD" w:rsidP="00422A37">
      <w:pPr>
        <w:ind w:left="540"/>
      </w:pPr>
    </w:p>
    <w:p w:rsidR="00E635CD" w:rsidRPr="00D8403C" w:rsidRDefault="00E635CD" w:rsidP="00422A37">
      <w:pPr>
        <w:ind w:left="540"/>
      </w:pPr>
    </w:p>
    <w:p w:rsidR="00653CC2" w:rsidRDefault="00293385" w:rsidP="00422A37">
      <w:pPr>
        <w:ind w:left="540"/>
      </w:pPr>
      <w:r w:rsidRPr="00D8403C">
        <w:t>Median</w:t>
      </w:r>
      <w:r w:rsidR="00653CC2" w:rsidRPr="00D8403C">
        <w:t xml:space="preserve"> backlog </w:t>
      </w:r>
      <w:r w:rsidR="00204BB9" w:rsidRPr="00D8403C">
        <w:t xml:space="preserve">in </w:t>
      </w:r>
      <w:r w:rsidRPr="00D8403C">
        <w:t>months</w:t>
      </w:r>
      <w:r w:rsidR="00653CC2" w:rsidRPr="00D8403C">
        <w:t xml:space="preserve"> </w:t>
      </w:r>
      <w:r w:rsidRPr="00D8403C">
        <w:t>by</w:t>
      </w:r>
      <w:r w:rsidR="00653CC2" w:rsidRPr="00D8403C">
        <w:t xml:space="preserve"> construction segment, </w:t>
      </w:r>
      <w:r w:rsidR="00D55989">
        <w:t>Q1</w:t>
      </w:r>
      <w:r w:rsidR="00653CC2" w:rsidRPr="00D8403C">
        <w:t xml:space="preserve"> 200</w:t>
      </w:r>
      <w:r w:rsidR="00D55989">
        <w:t>9</w:t>
      </w:r>
      <w:r w:rsidR="00653CC2" w:rsidRPr="00D8403C">
        <w:t xml:space="preserve"> – </w:t>
      </w:r>
      <w:r w:rsidR="00521293">
        <w:t>Q</w:t>
      </w:r>
      <w:r w:rsidR="00974A5D">
        <w:t>4</w:t>
      </w:r>
      <w:r w:rsidR="00521293">
        <w:t xml:space="preserve"> 2017</w:t>
      </w:r>
    </w:p>
    <w:p w:rsidR="00541CB6" w:rsidRDefault="00541CB6" w:rsidP="00541CB6">
      <w:pPr>
        <w:spacing w:after="100" w:afterAutospacing="1"/>
        <w:ind w:left="270"/>
        <w:jc w:val="center"/>
      </w:pPr>
      <w:r w:rsidRPr="00541CB6">
        <w:rPr>
          <w:noProof/>
        </w:rPr>
        <w:drawing>
          <wp:inline distT="0" distB="0" distL="0" distR="0">
            <wp:extent cx="5721099" cy="2509284"/>
            <wp:effectExtent l="0" t="0" r="13335" b="24765"/>
            <wp:docPr id="22" name="Char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E96D8E" w:rsidRPr="00D8403C" w:rsidRDefault="00250AE7" w:rsidP="00541CB6">
      <w:pPr>
        <w:spacing w:after="100" w:afterAutospacing="1"/>
        <w:ind w:left="270"/>
        <w:jc w:val="center"/>
      </w:pPr>
      <w:r>
        <w:rPr>
          <w:noProof/>
        </w:rPr>
        <w:drawing>
          <wp:inline distT="0" distB="0" distL="0" distR="0">
            <wp:extent cx="5709034" cy="2647507"/>
            <wp:effectExtent l="0" t="0" r="25400" b="19685"/>
            <wp:docPr id="13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653CC2" w:rsidRDefault="00250AE7" w:rsidP="00863E61">
      <w:pPr>
        <w:spacing w:after="120"/>
        <w:ind w:left="270"/>
        <w:jc w:val="center"/>
      </w:pPr>
      <w:r>
        <w:rPr>
          <w:noProof/>
        </w:rPr>
        <w:drawing>
          <wp:inline distT="0" distB="0" distL="0" distR="0">
            <wp:extent cx="5709034" cy="2456121"/>
            <wp:effectExtent l="0" t="0" r="25400" b="20955"/>
            <wp:docPr id="15" name="Char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863E61" w:rsidRPr="00D8403C" w:rsidRDefault="00863E61" w:rsidP="00C434A1"/>
    <w:p w:rsidR="00B42D6A" w:rsidRDefault="00B42D6A" w:rsidP="00A10C86"/>
    <w:p w:rsidR="00CD625A" w:rsidRDefault="00CD625A" w:rsidP="00A10C86">
      <w:r w:rsidRPr="00D8403C">
        <w:t xml:space="preserve">Median backlog in months by firm size, </w:t>
      </w:r>
      <w:r w:rsidR="00FA77FD">
        <w:t>Q1</w:t>
      </w:r>
      <w:r w:rsidRPr="00D8403C">
        <w:t xml:space="preserve"> 200</w:t>
      </w:r>
      <w:r w:rsidR="00FA77FD">
        <w:t>9</w:t>
      </w:r>
      <w:r w:rsidRPr="00D8403C">
        <w:t xml:space="preserve"> – </w:t>
      </w:r>
      <w:r w:rsidR="00521293">
        <w:t>Q</w:t>
      </w:r>
      <w:r w:rsidR="00974A5D">
        <w:t>4</w:t>
      </w:r>
      <w:r w:rsidR="00521293">
        <w:t xml:space="preserve"> 2017</w:t>
      </w:r>
    </w:p>
    <w:p w:rsidR="00F60C67" w:rsidRDefault="00F60C67" w:rsidP="00F60C67">
      <w:pPr>
        <w:spacing w:after="120"/>
      </w:pPr>
      <w:r w:rsidRPr="00F60C67">
        <w:rPr>
          <w:noProof/>
        </w:rPr>
        <w:drawing>
          <wp:inline distT="0" distB="0" distL="0" distR="0">
            <wp:extent cx="5924550" cy="3636335"/>
            <wp:effectExtent l="0" t="0" r="19050" b="21590"/>
            <wp:docPr id="14" name="Chart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F60C67" w:rsidRDefault="00F60C67" w:rsidP="00A10C86"/>
    <w:p w:rsidR="00F60C67" w:rsidRDefault="00F60C67" w:rsidP="005E7EB6">
      <w:pPr>
        <w:spacing w:after="120"/>
      </w:pPr>
      <w:r w:rsidRPr="00F60C67">
        <w:rPr>
          <w:noProof/>
        </w:rPr>
        <w:drawing>
          <wp:inline distT="0" distB="0" distL="0" distR="0">
            <wp:extent cx="5947064" cy="3768099"/>
            <wp:effectExtent l="0" t="0" r="15875" b="22860"/>
            <wp:docPr id="23" name="Char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5E7EB6" w:rsidRDefault="005E7EB6" w:rsidP="00A10C86"/>
    <w:p w:rsidR="00F60C67" w:rsidRDefault="00F60C67" w:rsidP="00A10C86"/>
    <w:p w:rsidR="00DF20CE" w:rsidRDefault="00DF20CE" w:rsidP="00A10C86"/>
    <w:p w:rsidR="00F60C67" w:rsidRDefault="00F60C67" w:rsidP="00F60C67">
      <w:pPr>
        <w:spacing w:after="120"/>
      </w:pPr>
      <w:r w:rsidRPr="00F60C67">
        <w:rPr>
          <w:noProof/>
        </w:rPr>
        <w:drawing>
          <wp:inline distT="0" distB="0" distL="0" distR="0">
            <wp:extent cx="5924550" cy="3763926"/>
            <wp:effectExtent l="0" t="0" r="19050" b="27305"/>
            <wp:docPr id="24" name="Char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F60C67" w:rsidRPr="00D8403C" w:rsidRDefault="00F60C67" w:rsidP="00A10C86"/>
    <w:p w:rsidR="0039313A" w:rsidRPr="00D8403C" w:rsidRDefault="00250AE7" w:rsidP="00F60C67">
      <w:pPr>
        <w:tabs>
          <w:tab w:val="left" w:pos="1980"/>
          <w:tab w:val="left" w:pos="10440"/>
        </w:tabs>
        <w:spacing w:after="100" w:afterAutospacing="1"/>
      </w:pPr>
      <w:r>
        <w:rPr>
          <w:noProof/>
        </w:rPr>
        <w:drawing>
          <wp:inline distT="0" distB="0" distL="0" distR="0">
            <wp:extent cx="5943600" cy="3583305"/>
            <wp:effectExtent l="0" t="0" r="19050" b="17145"/>
            <wp:docPr id="16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C04B32" w:rsidRDefault="00C04B32" w:rsidP="001416BE">
      <w:pPr>
        <w:spacing w:after="120"/>
      </w:pPr>
    </w:p>
    <w:p w:rsidR="00261688" w:rsidRPr="00D8403C" w:rsidRDefault="00261688" w:rsidP="00863E61">
      <w:pPr>
        <w:spacing w:after="120"/>
      </w:pPr>
    </w:p>
    <w:sectPr w:rsidR="00261688" w:rsidRPr="00D8403C" w:rsidSect="00E96D8E">
      <w:footerReference w:type="default" r:id="rId41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7D" w:rsidRDefault="000B467D" w:rsidP="00210756">
      <w:r>
        <w:separator/>
      </w:r>
    </w:p>
  </w:endnote>
  <w:endnote w:type="continuationSeparator" w:id="0">
    <w:p w:rsidR="000B467D" w:rsidRDefault="000B467D" w:rsidP="0021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07" w:rsidRDefault="00CE340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45CC">
      <w:rPr>
        <w:noProof/>
      </w:rPr>
      <w:t>1</w:t>
    </w:r>
    <w:r>
      <w:rPr>
        <w:noProof/>
      </w:rPr>
      <w:fldChar w:fldCharType="end"/>
    </w:r>
  </w:p>
  <w:p w:rsidR="00CE3407" w:rsidRDefault="00CE34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7D" w:rsidRDefault="000B467D" w:rsidP="00210756">
      <w:r>
        <w:separator/>
      </w:r>
    </w:p>
  </w:footnote>
  <w:footnote w:type="continuationSeparator" w:id="0">
    <w:p w:rsidR="000B467D" w:rsidRDefault="000B467D" w:rsidP="00210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48"/>
    <w:rsid w:val="00002ABC"/>
    <w:rsid w:val="0000385C"/>
    <w:rsid w:val="00005871"/>
    <w:rsid w:val="00005DB5"/>
    <w:rsid w:val="00006768"/>
    <w:rsid w:val="00006982"/>
    <w:rsid w:val="000075BB"/>
    <w:rsid w:val="00007E44"/>
    <w:rsid w:val="00020FF3"/>
    <w:rsid w:val="0002314A"/>
    <w:rsid w:val="000256F2"/>
    <w:rsid w:val="00025FB8"/>
    <w:rsid w:val="00026FA9"/>
    <w:rsid w:val="00031EB4"/>
    <w:rsid w:val="000329E0"/>
    <w:rsid w:val="00032D56"/>
    <w:rsid w:val="000349D7"/>
    <w:rsid w:val="00041722"/>
    <w:rsid w:val="00042435"/>
    <w:rsid w:val="00042A47"/>
    <w:rsid w:val="00044DCB"/>
    <w:rsid w:val="00044EAA"/>
    <w:rsid w:val="000450D6"/>
    <w:rsid w:val="000452C6"/>
    <w:rsid w:val="00047327"/>
    <w:rsid w:val="00047B30"/>
    <w:rsid w:val="000506CF"/>
    <w:rsid w:val="00050B04"/>
    <w:rsid w:val="000510EE"/>
    <w:rsid w:val="000511C1"/>
    <w:rsid w:val="00052186"/>
    <w:rsid w:val="000524DB"/>
    <w:rsid w:val="000608CD"/>
    <w:rsid w:val="00060E9B"/>
    <w:rsid w:val="0006310C"/>
    <w:rsid w:val="000641E6"/>
    <w:rsid w:val="0006790B"/>
    <w:rsid w:val="00071C25"/>
    <w:rsid w:val="00071F79"/>
    <w:rsid w:val="00074110"/>
    <w:rsid w:val="00074E33"/>
    <w:rsid w:val="0007531D"/>
    <w:rsid w:val="00080545"/>
    <w:rsid w:val="00083BE9"/>
    <w:rsid w:val="00091F48"/>
    <w:rsid w:val="00092959"/>
    <w:rsid w:val="000B06AA"/>
    <w:rsid w:val="000B08E3"/>
    <w:rsid w:val="000B1043"/>
    <w:rsid w:val="000B190F"/>
    <w:rsid w:val="000B467D"/>
    <w:rsid w:val="000B4F98"/>
    <w:rsid w:val="000B52A0"/>
    <w:rsid w:val="000B5762"/>
    <w:rsid w:val="000B6878"/>
    <w:rsid w:val="000B6DBE"/>
    <w:rsid w:val="000C27FE"/>
    <w:rsid w:val="000C2E35"/>
    <w:rsid w:val="000C340F"/>
    <w:rsid w:val="000C4180"/>
    <w:rsid w:val="000C6828"/>
    <w:rsid w:val="000D0E16"/>
    <w:rsid w:val="000D3300"/>
    <w:rsid w:val="000D3D39"/>
    <w:rsid w:val="000D3E1D"/>
    <w:rsid w:val="000D416B"/>
    <w:rsid w:val="000D4AD4"/>
    <w:rsid w:val="000D61A6"/>
    <w:rsid w:val="000E00BC"/>
    <w:rsid w:val="000E0430"/>
    <w:rsid w:val="000E089B"/>
    <w:rsid w:val="000E7549"/>
    <w:rsid w:val="000E7AAC"/>
    <w:rsid w:val="000F147F"/>
    <w:rsid w:val="000F2647"/>
    <w:rsid w:val="000F3FFB"/>
    <w:rsid w:val="00100EE5"/>
    <w:rsid w:val="00101643"/>
    <w:rsid w:val="001049C6"/>
    <w:rsid w:val="00107260"/>
    <w:rsid w:val="00111839"/>
    <w:rsid w:val="0011247D"/>
    <w:rsid w:val="00112C09"/>
    <w:rsid w:val="0011377B"/>
    <w:rsid w:val="00113879"/>
    <w:rsid w:val="00114707"/>
    <w:rsid w:val="00117D8F"/>
    <w:rsid w:val="0012170B"/>
    <w:rsid w:val="00126579"/>
    <w:rsid w:val="00126C5E"/>
    <w:rsid w:val="001274BB"/>
    <w:rsid w:val="001339FE"/>
    <w:rsid w:val="00133C15"/>
    <w:rsid w:val="00134BD6"/>
    <w:rsid w:val="0013510A"/>
    <w:rsid w:val="001351DC"/>
    <w:rsid w:val="00135D5D"/>
    <w:rsid w:val="001403DD"/>
    <w:rsid w:val="001416BE"/>
    <w:rsid w:val="00142453"/>
    <w:rsid w:val="001426BB"/>
    <w:rsid w:val="00145AD4"/>
    <w:rsid w:val="0015079B"/>
    <w:rsid w:val="001540DC"/>
    <w:rsid w:val="00155ECB"/>
    <w:rsid w:val="00156FE4"/>
    <w:rsid w:val="00157F16"/>
    <w:rsid w:val="00157FCB"/>
    <w:rsid w:val="001607B1"/>
    <w:rsid w:val="00165A9A"/>
    <w:rsid w:val="00166AE7"/>
    <w:rsid w:val="0017109B"/>
    <w:rsid w:val="00174116"/>
    <w:rsid w:val="00174439"/>
    <w:rsid w:val="0017464E"/>
    <w:rsid w:val="00175A4A"/>
    <w:rsid w:val="00180021"/>
    <w:rsid w:val="0018128A"/>
    <w:rsid w:val="00181406"/>
    <w:rsid w:val="00181C22"/>
    <w:rsid w:val="00181FA1"/>
    <w:rsid w:val="00183F82"/>
    <w:rsid w:val="0019135E"/>
    <w:rsid w:val="001919C0"/>
    <w:rsid w:val="00192E2B"/>
    <w:rsid w:val="00193381"/>
    <w:rsid w:val="00193863"/>
    <w:rsid w:val="00194ED9"/>
    <w:rsid w:val="0019520A"/>
    <w:rsid w:val="001960CE"/>
    <w:rsid w:val="00196B4B"/>
    <w:rsid w:val="00197A33"/>
    <w:rsid w:val="00197B0C"/>
    <w:rsid w:val="001A0888"/>
    <w:rsid w:val="001A096A"/>
    <w:rsid w:val="001A1D92"/>
    <w:rsid w:val="001A1F12"/>
    <w:rsid w:val="001A278D"/>
    <w:rsid w:val="001A751D"/>
    <w:rsid w:val="001A7DEC"/>
    <w:rsid w:val="001B0476"/>
    <w:rsid w:val="001B111A"/>
    <w:rsid w:val="001B4CD0"/>
    <w:rsid w:val="001B5B38"/>
    <w:rsid w:val="001B7442"/>
    <w:rsid w:val="001B7B33"/>
    <w:rsid w:val="001C0577"/>
    <w:rsid w:val="001C4E41"/>
    <w:rsid w:val="001C5321"/>
    <w:rsid w:val="001C5DC7"/>
    <w:rsid w:val="001C79C9"/>
    <w:rsid w:val="001D006F"/>
    <w:rsid w:val="001D564C"/>
    <w:rsid w:val="001E14D1"/>
    <w:rsid w:val="001E22A5"/>
    <w:rsid w:val="001E3152"/>
    <w:rsid w:val="001E4646"/>
    <w:rsid w:val="001E7C57"/>
    <w:rsid w:val="001F086A"/>
    <w:rsid w:val="001F1C7F"/>
    <w:rsid w:val="001F1C97"/>
    <w:rsid w:val="001F2423"/>
    <w:rsid w:val="001F6011"/>
    <w:rsid w:val="001F7014"/>
    <w:rsid w:val="00202546"/>
    <w:rsid w:val="00204BB9"/>
    <w:rsid w:val="002054F6"/>
    <w:rsid w:val="0020621E"/>
    <w:rsid w:val="00206F70"/>
    <w:rsid w:val="002070AD"/>
    <w:rsid w:val="00210756"/>
    <w:rsid w:val="0021359C"/>
    <w:rsid w:val="002151F8"/>
    <w:rsid w:val="00215234"/>
    <w:rsid w:val="002152D8"/>
    <w:rsid w:val="00215F9F"/>
    <w:rsid w:val="00216CE5"/>
    <w:rsid w:val="00216E29"/>
    <w:rsid w:val="00217BDC"/>
    <w:rsid w:val="00221273"/>
    <w:rsid w:val="002223F2"/>
    <w:rsid w:val="00232F9F"/>
    <w:rsid w:val="0023581F"/>
    <w:rsid w:val="002364BC"/>
    <w:rsid w:val="00237948"/>
    <w:rsid w:val="00245AA0"/>
    <w:rsid w:val="00250AE7"/>
    <w:rsid w:val="00251BB3"/>
    <w:rsid w:val="00253713"/>
    <w:rsid w:val="0025470E"/>
    <w:rsid w:val="002550A8"/>
    <w:rsid w:val="002573C7"/>
    <w:rsid w:val="00257D24"/>
    <w:rsid w:val="00261688"/>
    <w:rsid w:val="002631B7"/>
    <w:rsid w:val="0026465D"/>
    <w:rsid w:val="00264C4C"/>
    <w:rsid w:val="00265097"/>
    <w:rsid w:val="00270114"/>
    <w:rsid w:val="00270164"/>
    <w:rsid w:val="0027044A"/>
    <w:rsid w:val="00270A4C"/>
    <w:rsid w:val="00270CCF"/>
    <w:rsid w:val="00271265"/>
    <w:rsid w:val="00273748"/>
    <w:rsid w:val="0027501B"/>
    <w:rsid w:val="00275684"/>
    <w:rsid w:val="00277DB6"/>
    <w:rsid w:val="0028273A"/>
    <w:rsid w:val="00283838"/>
    <w:rsid w:val="00283C5D"/>
    <w:rsid w:val="00284468"/>
    <w:rsid w:val="00287A19"/>
    <w:rsid w:val="00287A59"/>
    <w:rsid w:val="00290DDA"/>
    <w:rsid w:val="002920F1"/>
    <w:rsid w:val="0029282F"/>
    <w:rsid w:val="00293385"/>
    <w:rsid w:val="002A36AA"/>
    <w:rsid w:val="002A4CF6"/>
    <w:rsid w:val="002A5F0A"/>
    <w:rsid w:val="002B0ED0"/>
    <w:rsid w:val="002B0F55"/>
    <w:rsid w:val="002B1D5C"/>
    <w:rsid w:val="002B4A21"/>
    <w:rsid w:val="002B5955"/>
    <w:rsid w:val="002B7DF5"/>
    <w:rsid w:val="002C028E"/>
    <w:rsid w:val="002C1706"/>
    <w:rsid w:val="002C1B73"/>
    <w:rsid w:val="002C348E"/>
    <w:rsid w:val="002C4178"/>
    <w:rsid w:val="002C65EF"/>
    <w:rsid w:val="002C72F9"/>
    <w:rsid w:val="002D30B6"/>
    <w:rsid w:val="002D313D"/>
    <w:rsid w:val="002D426C"/>
    <w:rsid w:val="002D573B"/>
    <w:rsid w:val="002D5E40"/>
    <w:rsid w:val="002D7526"/>
    <w:rsid w:val="002D7988"/>
    <w:rsid w:val="002D798B"/>
    <w:rsid w:val="002D7CF9"/>
    <w:rsid w:val="002E3859"/>
    <w:rsid w:val="002E3DC5"/>
    <w:rsid w:val="002E58DA"/>
    <w:rsid w:val="002E5B28"/>
    <w:rsid w:val="002E5EC6"/>
    <w:rsid w:val="002E79E7"/>
    <w:rsid w:val="002E7B3C"/>
    <w:rsid w:val="002F12CB"/>
    <w:rsid w:val="002F2599"/>
    <w:rsid w:val="002F2B5B"/>
    <w:rsid w:val="002F3D10"/>
    <w:rsid w:val="002F5948"/>
    <w:rsid w:val="002F62D8"/>
    <w:rsid w:val="0030004C"/>
    <w:rsid w:val="00300175"/>
    <w:rsid w:val="00305367"/>
    <w:rsid w:val="00306D59"/>
    <w:rsid w:val="003104C7"/>
    <w:rsid w:val="00310E2B"/>
    <w:rsid w:val="00321134"/>
    <w:rsid w:val="00321F5B"/>
    <w:rsid w:val="00323415"/>
    <w:rsid w:val="00323431"/>
    <w:rsid w:val="00324161"/>
    <w:rsid w:val="00325D36"/>
    <w:rsid w:val="00326680"/>
    <w:rsid w:val="00332590"/>
    <w:rsid w:val="00332F8D"/>
    <w:rsid w:val="003342C8"/>
    <w:rsid w:val="00340A31"/>
    <w:rsid w:val="003417A3"/>
    <w:rsid w:val="003419F3"/>
    <w:rsid w:val="00342FE0"/>
    <w:rsid w:val="00344E31"/>
    <w:rsid w:val="003454D0"/>
    <w:rsid w:val="003468DD"/>
    <w:rsid w:val="003517F5"/>
    <w:rsid w:val="00352B61"/>
    <w:rsid w:val="00354322"/>
    <w:rsid w:val="003550A3"/>
    <w:rsid w:val="00355BE6"/>
    <w:rsid w:val="00357226"/>
    <w:rsid w:val="00362EA1"/>
    <w:rsid w:val="00364B52"/>
    <w:rsid w:val="00370080"/>
    <w:rsid w:val="0037099C"/>
    <w:rsid w:val="00371A7B"/>
    <w:rsid w:val="00373D99"/>
    <w:rsid w:val="00374F06"/>
    <w:rsid w:val="00377191"/>
    <w:rsid w:val="00377789"/>
    <w:rsid w:val="00377A11"/>
    <w:rsid w:val="003820C2"/>
    <w:rsid w:val="003837AB"/>
    <w:rsid w:val="0038401D"/>
    <w:rsid w:val="00384833"/>
    <w:rsid w:val="00384D0E"/>
    <w:rsid w:val="003859B2"/>
    <w:rsid w:val="003869F8"/>
    <w:rsid w:val="00387784"/>
    <w:rsid w:val="00390BCD"/>
    <w:rsid w:val="00392C87"/>
    <w:rsid w:val="0039313A"/>
    <w:rsid w:val="00397199"/>
    <w:rsid w:val="00397472"/>
    <w:rsid w:val="003A466C"/>
    <w:rsid w:val="003A6A11"/>
    <w:rsid w:val="003A73EB"/>
    <w:rsid w:val="003A7637"/>
    <w:rsid w:val="003B292A"/>
    <w:rsid w:val="003B5037"/>
    <w:rsid w:val="003C00AD"/>
    <w:rsid w:val="003C19AC"/>
    <w:rsid w:val="003C2F04"/>
    <w:rsid w:val="003C2FF7"/>
    <w:rsid w:val="003C39FA"/>
    <w:rsid w:val="003C7519"/>
    <w:rsid w:val="003C7638"/>
    <w:rsid w:val="003C7658"/>
    <w:rsid w:val="003C7EB6"/>
    <w:rsid w:val="003D417E"/>
    <w:rsid w:val="003D429F"/>
    <w:rsid w:val="003D6AE3"/>
    <w:rsid w:val="003E07D0"/>
    <w:rsid w:val="003E1C77"/>
    <w:rsid w:val="003E22A2"/>
    <w:rsid w:val="003E7E3D"/>
    <w:rsid w:val="003F0BDD"/>
    <w:rsid w:val="003F3931"/>
    <w:rsid w:val="003F5940"/>
    <w:rsid w:val="003F6DA5"/>
    <w:rsid w:val="003F71AF"/>
    <w:rsid w:val="00400289"/>
    <w:rsid w:val="00400845"/>
    <w:rsid w:val="00402C48"/>
    <w:rsid w:val="0040357E"/>
    <w:rsid w:val="00406128"/>
    <w:rsid w:val="004072EB"/>
    <w:rsid w:val="00407F84"/>
    <w:rsid w:val="00410DE3"/>
    <w:rsid w:val="0041198D"/>
    <w:rsid w:val="00412444"/>
    <w:rsid w:val="004136D1"/>
    <w:rsid w:val="00413FC7"/>
    <w:rsid w:val="004140DB"/>
    <w:rsid w:val="00415C6A"/>
    <w:rsid w:val="00416E56"/>
    <w:rsid w:val="00422A37"/>
    <w:rsid w:val="00423122"/>
    <w:rsid w:val="00423930"/>
    <w:rsid w:val="00427CEC"/>
    <w:rsid w:val="00427D55"/>
    <w:rsid w:val="00432693"/>
    <w:rsid w:val="00432760"/>
    <w:rsid w:val="00433C6D"/>
    <w:rsid w:val="0043463F"/>
    <w:rsid w:val="00435671"/>
    <w:rsid w:val="00435841"/>
    <w:rsid w:val="0043629A"/>
    <w:rsid w:val="0043780F"/>
    <w:rsid w:val="0044036B"/>
    <w:rsid w:val="004417F0"/>
    <w:rsid w:val="00442DBA"/>
    <w:rsid w:val="00446316"/>
    <w:rsid w:val="004470E5"/>
    <w:rsid w:val="0044722F"/>
    <w:rsid w:val="004476E6"/>
    <w:rsid w:val="004521BC"/>
    <w:rsid w:val="0045300C"/>
    <w:rsid w:val="00453A61"/>
    <w:rsid w:val="00454768"/>
    <w:rsid w:val="004567A9"/>
    <w:rsid w:val="00460B73"/>
    <w:rsid w:val="004617B4"/>
    <w:rsid w:val="004631F9"/>
    <w:rsid w:val="00463959"/>
    <w:rsid w:val="00465340"/>
    <w:rsid w:val="00465B10"/>
    <w:rsid w:val="004664E2"/>
    <w:rsid w:val="00470857"/>
    <w:rsid w:val="00471F90"/>
    <w:rsid w:val="004737EE"/>
    <w:rsid w:val="0047396B"/>
    <w:rsid w:val="00475203"/>
    <w:rsid w:val="004757A9"/>
    <w:rsid w:val="00475A24"/>
    <w:rsid w:val="00476A1E"/>
    <w:rsid w:val="004804F0"/>
    <w:rsid w:val="00484B96"/>
    <w:rsid w:val="00486919"/>
    <w:rsid w:val="00486B04"/>
    <w:rsid w:val="004878E9"/>
    <w:rsid w:val="00487966"/>
    <w:rsid w:val="00490FA7"/>
    <w:rsid w:val="00491570"/>
    <w:rsid w:val="00491795"/>
    <w:rsid w:val="00492542"/>
    <w:rsid w:val="00494753"/>
    <w:rsid w:val="004A2D9D"/>
    <w:rsid w:val="004A4E93"/>
    <w:rsid w:val="004A5A59"/>
    <w:rsid w:val="004A7C71"/>
    <w:rsid w:val="004A7FF9"/>
    <w:rsid w:val="004B44BE"/>
    <w:rsid w:val="004B6ECA"/>
    <w:rsid w:val="004B740B"/>
    <w:rsid w:val="004D049E"/>
    <w:rsid w:val="004D1602"/>
    <w:rsid w:val="004D24B1"/>
    <w:rsid w:val="004D29F3"/>
    <w:rsid w:val="004D3137"/>
    <w:rsid w:val="004E0373"/>
    <w:rsid w:val="004E0B15"/>
    <w:rsid w:val="004E0DE8"/>
    <w:rsid w:val="004E1E7D"/>
    <w:rsid w:val="004F0FF1"/>
    <w:rsid w:val="004F1F8B"/>
    <w:rsid w:val="004F596D"/>
    <w:rsid w:val="004F5C98"/>
    <w:rsid w:val="00500072"/>
    <w:rsid w:val="00501731"/>
    <w:rsid w:val="005040A9"/>
    <w:rsid w:val="0050576A"/>
    <w:rsid w:val="00505771"/>
    <w:rsid w:val="00512313"/>
    <w:rsid w:val="00512346"/>
    <w:rsid w:val="0051363D"/>
    <w:rsid w:val="005162EF"/>
    <w:rsid w:val="005174FB"/>
    <w:rsid w:val="00521293"/>
    <w:rsid w:val="00523BB3"/>
    <w:rsid w:val="0052729C"/>
    <w:rsid w:val="00530929"/>
    <w:rsid w:val="00532F36"/>
    <w:rsid w:val="00534F32"/>
    <w:rsid w:val="00535660"/>
    <w:rsid w:val="005367F3"/>
    <w:rsid w:val="005404BC"/>
    <w:rsid w:val="00541CB6"/>
    <w:rsid w:val="005434DC"/>
    <w:rsid w:val="00543536"/>
    <w:rsid w:val="00545D25"/>
    <w:rsid w:val="0054629B"/>
    <w:rsid w:val="00552B18"/>
    <w:rsid w:val="00553B0F"/>
    <w:rsid w:val="00555170"/>
    <w:rsid w:val="005563AC"/>
    <w:rsid w:val="00556615"/>
    <w:rsid w:val="00556656"/>
    <w:rsid w:val="00561036"/>
    <w:rsid w:val="00564FFA"/>
    <w:rsid w:val="00570E50"/>
    <w:rsid w:val="005737C0"/>
    <w:rsid w:val="00574505"/>
    <w:rsid w:val="00576EE8"/>
    <w:rsid w:val="005779F9"/>
    <w:rsid w:val="00580484"/>
    <w:rsid w:val="005809AC"/>
    <w:rsid w:val="00580AD5"/>
    <w:rsid w:val="00583E7E"/>
    <w:rsid w:val="00584E7F"/>
    <w:rsid w:val="00585E7D"/>
    <w:rsid w:val="0058655D"/>
    <w:rsid w:val="0058655E"/>
    <w:rsid w:val="00586A4B"/>
    <w:rsid w:val="005975A6"/>
    <w:rsid w:val="00597B3A"/>
    <w:rsid w:val="005A19ED"/>
    <w:rsid w:val="005A47AE"/>
    <w:rsid w:val="005A6A50"/>
    <w:rsid w:val="005B0986"/>
    <w:rsid w:val="005B2CEC"/>
    <w:rsid w:val="005B5A86"/>
    <w:rsid w:val="005B61BA"/>
    <w:rsid w:val="005B6C2B"/>
    <w:rsid w:val="005B73A5"/>
    <w:rsid w:val="005C314E"/>
    <w:rsid w:val="005D04BD"/>
    <w:rsid w:val="005D2C1E"/>
    <w:rsid w:val="005D4204"/>
    <w:rsid w:val="005D5776"/>
    <w:rsid w:val="005D5951"/>
    <w:rsid w:val="005D6C0D"/>
    <w:rsid w:val="005E0337"/>
    <w:rsid w:val="005E2DD5"/>
    <w:rsid w:val="005E7879"/>
    <w:rsid w:val="005E7EB6"/>
    <w:rsid w:val="005F0816"/>
    <w:rsid w:val="005F0D63"/>
    <w:rsid w:val="005F32D4"/>
    <w:rsid w:val="005F3CA3"/>
    <w:rsid w:val="005F4021"/>
    <w:rsid w:val="005F47AE"/>
    <w:rsid w:val="005F6054"/>
    <w:rsid w:val="005F737B"/>
    <w:rsid w:val="0060003F"/>
    <w:rsid w:val="006015C6"/>
    <w:rsid w:val="0060446E"/>
    <w:rsid w:val="00605325"/>
    <w:rsid w:val="0060639B"/>
    <w:rsid w:val="00607A5F"/>
    <w:rsid w:val="00610D65"/>
    <w:rsid w:val="0061276B"/>
    <w:rsid w:val="00613777"/>
    <w:rsid w:val="00613D44"/>
    <w:rsid w:val="00613E1E"/>
    <w:rsid w:val="0061578D"/>
    <w:rsid w:val="00617D98"/>
    <w:rsid w:val="006212E1"/>
    <w:rsid w:val="00621770"/>
    <w:rsid w:val="00624434"/>
    <w:rsid w:val="00624C7D"/>
    <w:rsid w:val="00625253"/>
    <w:rsid w:val="006257E7"/>
    <w:rsid w:val="00627E88"/>
    <w:rsid w:val="00630847"/>
    <w:rsid w:val="00630DBE"/>
    <w:rsid w:val="006312D3"/>
    <w:rsid w:val="00631C61"/>
    <w:rsid w:val="0063353D"/>
    <w:rsid w:val="006354D1"/>
    <w:rsid w:val="00637C0E"/>
    <w:rsid w:val="00641F84"/>
    <w:rsid w:val="0064344F"/>
    <w:rsid w:val="0064360A"/>
    <w:rsid w:val="00643613"/>
    <w:rsid w:val="00646A30"/>
    <w:rsid w:val="00646D63"/>
    <w:rsid w:val="00651E60"/>
    <w:rsid w:val="00653CC2"/>
    <w:rsid w:val="0065697C"/>
    <w:rsid w:val="00657075"/>
    <w:rsid w:val="0066249E"/>
    <w:rsid w:val="00664850"/>
    <w:rsid w:val="00665110"/>
    <w:rsid w:val="00665B26"/>
    <w:rsid w:val="00666492"/>
    <w:rsid w:val="00675066"/>
    <w:rsid w:val="00675A2B"/>
    <w:rsid w:val="00676BE8"/>
    <w:rsid w:val="006778D3"/>
    <w:rsid w:val="006809FA"/>
    <w:rsid w:val="00683F57"/>
    <w:rsid w:val="006852C8"/>
    <w:rsid w:val="00686701"/>
    <w:rsid w:val="00691F60"/>
    <w:rsid w:val="00692B04"/>
    <w:rsid w:val="00695AB7"/>
    <w:rsid w:val="0069652C"/>
    <w:rsid w:val="00696AEE"/>
    <w:rsid w:val="006A3A05"/>
    <w:rsid w:val="006A3F2B"/>
    <w:rsid w:val="006A5620"/>
    <w:rsid w:val="006A564E"/>
    <w:rsid w:val="006A6A0D"/>
    <w:rsid w:val="006A7EB9"/>
    <w:rsid w:val="006B0B4D"/>
    <w:rsid w:val="006B2011"/>
    <w:rsid w:val="006B6E0F"/>
    <w:rsid w:val="006C0CDB"/>
    <w:rsid w:val="006C591F"/>
    <w:rsid w:val="006C5E92"/>
    <w:rsid w:val="006C5F76"/>
    <w:rsid w:val="006C6777"/>
    <w:rsid w:val="006C6DFD"/>
    <w:rsid w:val="006D345B"/>
    <w:rsid w:val="006D7ADC"/>
    <w:rsid w:val="006E280B"/>
    <w:rsid w:val="006E3C7A"/>
    <w:rsid w:val="006E4DF6"/>
    <w:rsid w:val="006E62DF"/>
    <w:rsid w:val="006E712E"/>
    <w:rsid w:val="006E730D"/>
    <w:rsid w:val="006E7B19"/>
    <w:rsid w:val="006F2256"/>
    <w:rsid w:val="006F41A4"/>
    <w:rsid w:val="006F4DB0"/>
    <w:rsid w:val="00701BFB"/>
    <w:rsid w:val="0070570B"/>
    <w:rsid w:val="00710072"/>
    <w:rsid w:val="00710242"/>
    <w:rsid w:val="0071476F"/>
    <w:rsid w:val="00717248"/>
    <w:rsid w:val="0072371A"/>
    <w:rsid w:val="007245CC"/>
    <w:rsid w:val="00724C0E"/>
    <w:rsid w:val="00731F43"/>
    <w:rsid w:val="0073431A"/>
    <w:rsid w:val="007375E5"/>
    <w:rsid w:val="00737763"/>
    <w:rsid w:val="00745BC9"/>
    <w:rsid w:val="00745D73"/>
    <w:rsid w:val="00750587"/>
    <w:rsid w:val="00750F92"/>
    <w:rsid w:val="00752993"/>
    <w:rsid w:val="00752A2F"/>
    <w:rsid w:val="0075364C"/>
    <w:rsid w:val="00753D7E"/>
    <w:rsid w:val="00754F7A"/>
    <w:rsid w:val="00755147"/>
    <w:rsid w:val="0075531A"/>
    <w:rsid w:val="0076165E"/>
    <w:rsid w:val="00763148"/>
    <w:rsid w:val="00765914"/>
    <w:rsid w:val="00770003"/>
    <w:rsid w:val="007722D6"/>
    <w:rsid w:val="00772B80"/>
    <w:rsid w:val="00773918"/>
    <w:rsid w:val="007748D2"/>
    <w:rsid w:val="00775FA5"/>
    <w:rsid w:val="007802DF"/>
    <w:rsid w:val="00780DA7"/>
    <w:rsid w:val="007817C8"/>
    <w:rsid w:val="0078230A"/>
    <w:rsid w:val="00782371"/>
    <w:rsid w:val="00784900"/>
    <w:rsid w:val="00787BA1"/>
    <w:rsid w:val="0079105F"/>
    <w:rsid w:val="00791EDA"/>
    <w:rsid w:val="00794E8F"/>
    <w:rsid w:val="00797089"/>
    <w:rsid w:val="007A0393"/>
    <w:rsid w:val="007A059D"/>
    <w:rsid w:val="007A5281"/>
    <w:rsid w:val="007A6531"/>
    <w:rsid w:val="007A6F08"/>
    <w:rsid w:val="007B6290"/>
    <w:rsid w:val="007C2193"/>
    <w:rsid w:val="007C471E"/>
    <w:rsid w:val="007C67BE"/>
    <w:rsid w:val="007D0C75"/>
    <w:rsid w:val="007D51A6"/>
    <w:rsid w:val="007E1727"/>
    <w:rsid w:val="007E40FC"/>
    <w:rsid w:val="007E6C41"/>
    <w:rsid w:val="007E6E50"/>
    <w:rsid w:val="007E70D6"/>
    <w:rsid w:val="008005A9"/>
    <w:rsid w:val="00802C8E"/>
    <w:rsid w:val="00803892"/>
    <w:rsid w:val="00804BD7"/>
    <w:rsid w:val="00805003"/>
    <w:rsid w:val="00807CF2"/>
    <w:rsid w:val="008110DD"/>
    <w:rsid w:val="00811618"/>
    <w:rsid w:val="00811C8B"/>
    <w:rsid w:val="00814833"/>
    <w:rsid w:val="00816B59"/>
    <w:rsid w:val="008173AE"/>
    <w:rsid w:val="008206DE"/>
    <w:rsid w:val="00821B2D"/>
    <w:rsid w:val="008222E0"/>
    <w:rsid w:val="00824F97"/>
    <w:rsid w:val="00826BE1"/>
    <w:rsid w:val="00826C51"/>
    <w:rsid w:val="00830F62"/>
    <w:rsid w:val="008312C1"/>
    <w:rsid w:val="0083205F"/>
    <w:rsid w:val="00832128"/>
    <w:rsid w:val="008341DE"/>
    <w:rsid w:val="00835B6F"/>
    <w:rsid w:val="00837F39"/>
    <w:rsid w:val="00841EAA"/>
    <w:rsid w:val="008442E5"/>
    <w:rsid w:val="00844F88"/>
    <w:rsid w:val="00846A99"/>
    <w:rsid w:val="00851D38"/>
    <w:rsid w:val="00853404"/>
    <w:rsid w:val="00853D67"/>
    <w:rsid w:val="008549E0"/>
    <w:rsid w:val="00854F6A"/>
    <w:rsid w:val="0085571B"/>
    <w:rsid w:val="00861BC5"/>
    <w:rsid w:val="00862613"/>
    <w:rsid w:val="00863E61"/>
    <w:rsid w:val="00864108"/>
    <w:rsid w:val="00864425"/>
    <w:rsid w:val="008655EF"/>
    <w:rsid w:val="0086671B"/>
    <w:rsid w:val="008671CD"/>
    <w:rsid w:val="008676CB"/>
    <w:rsid w:val="00872F4C"/>
    <w:rsid w:val="00873E5A"/>
    <w:rsid w:val="00875872"/>
    <w:rsid w:val="0087738F"/>
    <w:rsid w:val="00881450"/>
    <w:rsid w:val="00882197"/>
    <w:rsid w:val="0088228A"/>
    <w:rsid w:val="00884E68"/>
    <w:rsid w:val="00885102"/>
    <w:rsid w:val="00885E78"/>
    <w:rsid w:val="008875CD"/>
    <w:rsid w:val="00887F9E"/>
    <w:rsid w:val="0089165E"/>
    <w:rsid w:val="00892721"/>
    <w:rsid w:val="00894DBD"/>
    <w:rsid w:val="008A2433"/>
    <w:rsid w:val="008A32CC"/>
    <w:rsid w:val="008A3EDD"/>
    <w:rsid w:val="008A5E53"/>
    <w:rsid w:val="008B0FD6"/>
    <w:rsid w:val="008B25BC"/>
    <w:rsid w:val="008B6065"/>
    <w:rsid w:val="008C23C8"/>
    <w:rsid w:val="008C60F9"/>
    <w:rsid w:val="008C6107"/>
    <w:rsid w:val="008C6B93"/>
    <w:rsid w:val="008C7498"/>
    <w:rsid w:val="008D24F5"/>
    <w:rsid w:val="008D7F8A"/>
    <w:rsid w:val="008E0C0F"/>
    <w:rsid w:val="008E1916"/>
    <w:rsid w:val="008E27F6"/>
    <w:rsid w:val="008E51C1"/>
    <w:rsid w:val="008F1CA3"/>
    <w:rsid w:val="008F2057"/>
    <w:rsid w:val="008F2734"/>
    <w:rsid w:val="008F2D10"/>
    <w:rsid w:val="008F3841"/>
    <w:rsid w:val="008F4A6A"/>
    <w:rsid w:val="008F5AC2"/>
    <w:rsid w:val="008F6E9C"/>
    <w:rsid w:val="008F701D"/>
    <w:rsid w:val="008F709D"/>
    <w:rsid w:val="008F77E1"/>
    <w:rsid w:val="00900E46"/>
    <w:rsid w:val="00901A4E"/>
    <w:rsid w:val="00903C36"/>
    <w:rsid w:val="00904D53"/>
    <w:rsid w:val="00910960"/>
    <w:rsid w:val="0091117C"/>
    <w:rsid w:val="00912122"/>
    <w:rsid w:val="00912D5A"/>
    <w:rsid w:val="0091486A"/>
    <w:rsid w:val="00914E11"/>
    <w:rsid w:val="00915F3F"/>
    <w:rsid w:val="00921EBD"/>
    <w:rsid w:val="00922291"/>
    <w:rsid w:val="00923640"/>
    <w:rsid w:val="0092451B"/>
    <w:rsid w:val="00927E66"/>
    <w:rsid w:val="00930358"/>
    <w:rsid w:val="00933AA8"/>
    <w:rsid w:val="00934983"/>
    <w:rsid w:val="0093684C"/>
    <w:rsid w:val="009404E4"/>
    <w:rsid w:val="00941DFA"/>
    <w:rsid w:val="009430AB"/>
    <w:rsid w:val="00944691"/>
    <w:rsid w:val="00951489"/>
    <w:rsid w:val="00951C80"/>
    <w:rsid w:val="00953728"/>
    <w:rsid w:val="00955E1B"/>
    <w:rsid w:val="0095686B"/>
    <w:rsid w:val="009578F7"/>
    <w:rsid w:val="00964A62"/>
    <w:rsid w:val="009660A4"/>
    <w:rsid w:val="0096732D"/>
    <w:rsid w:val="0096769B"/>
    <w:rsid w:val="009712BD"/>
    <w:rsid w:val="009743A2"/>
    <w:rsid w:val="00974A5D"/>
    <w:rsid w:val="00974DD3"/>
    <w:rsid w:val="00974FD9"/>
    <w:rsid w:val="00977807"/>
    <w:rsid w:val="00981691"/>
    <w:rsid w:val="00981FF5"/>
    <w:rsid w:val="009832CD"/>
    <w:rsid w:val="00983580"/>
    <w:rsid w:val="00987807"/>
    <w:rsid w:val="00987F86"/>
    <w:rsid w:val="0099234C"/>
    <w:rsid w:val="00993F46"/>
    <w:rsid w:val="0099565A"/>
    <w:rsid w:val="009A1732"/>
    <w:rsid w:val="009A7E88"/>
    <w:rsid w:val="009B1BEA"/>
    <w:rsid w:val="009B1E1B"/>
    <w:rsid w:val="009B4C41"/>
    <w:rsid w:val="009B4CD1"/>
    <w:rsid w:val="009B4F04"/>
    <w:rsid w:val="009B52AE"/>
    <w:rsid w:val="009B52AF"/>
    <w:rsid w:val="009B70AB"/>
    <w:rsid w:val="009B73E9"/>
    <w:rsid w:val="009C0A7C"/>
    <w:rsid w:val="009C1A2B"/>
    <w:rsid w:val="009C2422"/>
    <w:rsid w:val="009C373B"/>
    <w:rsid w:val="009C3840"/>
    <w:rsid w:val="009C5248"/>
    <w:rsid w:val="009E0A31"/>
    <w:rsid w:val="009E1E77"/>
    <w:rsid w:val="009E31A0"/>
    <w:rsid w:val="009E4202"/>
    <w:rsid w:val="009E5E22"/>
    <w:rsid w:val="009E6967"/>
    <w:rsid w:val="009F267A"/>
    <w:rsid w:val="009F2B5D"/>
    <w:rsid w:val="009F338F"/>
    <w:rsid w:val="009F3827"/>
    <w:rsid w:val="009F3D36"/>
    <w:rsid w:val="009F6298"/>
    <w:rsid w:val="00A011B7"/>
    <w:rsid w:val="00A035A3"/>
    <w:rsid w:val="00A03931"/>
    <w:rsid w:val="00A05D1D"/>
    <w:rsid w:val="00A069BC"/>
    <w:rsid w:val="00A10C86"/>
    <w:rsid w:val="00A13B08"/>
    <w:rsid w:val="00A15641"/>
    <w:rsid w:val="00A2050F"/>
    <w:rsid w:val="00A20E96"/>
    <w:rsid w:val="00A22010"/>
    <w:rsid w:val="00A2201C"/>
    <w:rsid w:val="00A2204D"/>
    <w:rsid w:val="00A243D4"/>
    <w:rsid w:val="00A31CAD"/>
    <w:rsid w:val="00A322A2"/>
    <w:rsid w:val="00A33AF0"/>
    <w:rsid w:val="00A37892"/>
    <w:rsid w:val="00A37E7A"/>
    <w:rsid w:val="00A4037D"/>
    <w:rsid w:val="00A42CD6"/>
    <w:rsid w:val="00A43FE5"/>
    <w:rsid w:val="00A458FD"/>
    <w:rsid w:val="00A4746C"/>
    <w:rsid w:val="00A50342"/>
    <w:rsid w:val="00A51023"/>
    <w:rsid w:val="00A513EE"/>
    <w:rsid w:val="00A5362B"/>
    <w:rsid w:val="00A56453"/>
    <w:rsid w:val="00A61233"/>
    <w:rsid w:val="00A618B5"/>
    <w:rsid w:val="00A664DE"/>
    <w:rsid w:val="00A6739F"/>
    <w:rsid w:val="00A67FD1"/>
    <w:rsid w:val="00A707C4"/>
    <w:rsid w:val="00A70CF3"/>
    <w:rsid w:val="00A73245"/>
    <w:rsid w:val="00A76F61"/>
    <w:rsid w:val="00A774DA"/>
    <w:rsid w:val="00A80808"/>
    <w:rsid w:val="00A84101"/>
    <w:rsid w:val="00A85BEA"/>
    <w:rsid w:val="00A864D0"/>
    <w:rsid w:val="00A868DE"/>
    <w:rsid w:val="00A914B0"/>
    <w:rsid w:val="00A92B90"/>
    <w:rsid w:val="00A9465E"/>
    <w:rsid w:val="00A95C72"/>
    <w:rsid w:val="00A96048"/>
    <w:rsid w:val="00A9775E"/>
    <w:rsid w:val="00AA03A3"/>
    <w:rsid w:val="00AA0481"/>
    <w:rsid w:val="00AA510E"/>
    <w:rsid w:val="00AB35E9"/>
    <w:rsid w:val="00AB3CA3"/>
    <w:rsid w:val="00AB3EAA"/>
    <w:rsid w:val="00AB45CA"/>
    <w:rsid w:val="00AB54E4"/>
    <w:rsid w:val="00AC009C"/>
    <w:rsid w:val="00AC2555"/>
    <w:rsid w:val="00AC495C"/>
    <w:rsid w:val="00AD3365"/>
    <w:rsid w:val="00AD43C0"/>
    <w:rsid w:val="00AD5BA5"/>
    <w:rsid w:val="00AD7FAF"/>
    <w:rsid w:val="00AE17DF"/>
    <w:rsid w:val="00AE2059"/>
    <w:rsid w:val="00AE2DFE"/>
    <w:rsid w:val="00AE5D07"/>
    <w:rsid w:val="00AE682B"/>
    <w:rsid w:val="00AE6BA8"/>
    <w:rsid w:val="00AE7037"/>
    <w:rsid w:val="00AF3D01"/>
    <w:rsid w:val="00AF7728"/>
    <w:rsid w:val="00B00419"/>
    <w:rsid w:val="00B02161"/>
    <w:rsid w:val="00B0529E"/>
    <w:rsid w:val="00B07828"/>
    <w:rsid w:val="00B12ED5"/>
    <w:rsid w:val="00B1360D"/>
    <w:rsid w:val="00B1751E"/>
    <w:rsid w:val="00B17D44"/>
    <w:rsid w:val="00B2101D"/>
    <w:rsid w:val="00B214AF"/>
    <w:rsid w:val="00B24529"/>
    <w:rsid w:val="00B24ACE"/>
    <w:rsid w:val="00B25953"/>
    <w:rsid w:val="00B2626B"/>
    <w:rsid w:val="00B26D52"/>
    <w:rsid w:val="00B31CEC"/>
    <w:rsid w:val="00B3359A"/>
    <w:rsid w:val="00B33E63"/>
    <w:rsid w:val="00B34353"/>
    <w:rsid w:val="00B345E4"/>
    <w:rsid w:val="00B35A56"/>
    <w:rsid w:val="00B36B19"/>
    <w:rsid w:val="00B4055F"/>
    <w:rsid w:val="00B41F85"/>
    <w:rsid w:val="00B42D6A"/>
    <w:rsid w:val="00B4304F"/>
    <w:rsid w:val="00B43AD0"/>
    <w:rsid w:val="00B450A0"/>
    <w:rsid w:val="00B46247"/>
    <w:rsid w:val="00B46705"/>
    <w:rsid w:val="00B51323"/>
    <w:rsid w:val="00B524B9"/>
    <w:rsid w:val="00B56B2E"/>
    <w:rsid w:val="00B57DAF"/>
    <w:rsid w:val="00B57E34"/>
    <w:rsid w:val="00B623A9"/>
    <w:rsid w:val="00B66AB3"/>
    <w:rsid w:val="00B7033F"/>
    <w:rsid w:val="00B70A63"/>
    <w:rsid w:val="00B72284"/>
    <w:rsid w:val="00B72C4B"/>
    <w:rsid w:val="00B73EF8"/>
    <w:rsid w:val="00B73F69"/>
    <w:rsid w:val="00B7421E"/>
    <w:rsid w:val="00B752FB"/>
    <w:rsid w:val="00B80685"/>
    <w:rsid w:val="00B806B4"/>
    <w:rsid w:val="00B82118"/>
    <w:rsid w:val="00B832F6"/>
    <w:rsid w:val="00B83595"/>
    <w:rsid w:val="00B83AA9"/>
    <w:rsid w:val="00B847C6"/>
    <w:rsid w:val="00B8793B"/>
    <w:rsid w:val="00B90093"/>
    <w:rsid w:val="00B90C18"/>
    <w:rsid w:val="00B9163C"/>
    <w:rsid w:val="00B9404F"/>
    <w:rsid w:val="00B97E1B"/>
    <w:rsid w:val="00BA10D2"/>
    <w:rsid w:val="00BA19E9"/>
    <w:rsid w:val="00BA36A7"/>
    <w:rsid w:val="00BB038C"/>
    <w:rsid w:val="00BB04B1"/>
    <w:rsid w:val="00BB0CDC"/>
    <w:rsid w:val="00BB0D72"/>
    <w:rsid w:val="00BB1195"/>
    <w:rsid w:val="00BB281B"/>
    <w:rsid w:val="00BB6C05"/>
    <w:rsid w:val="00BB712A"/>
    <w:rsid w:val="00BC1711"/>
    <w:rsid w:val="00BC207A"/>
    <w:rsid w:val="00BD040F"/>
    <w:rsid w:val="00BD080C"/>
    <w:rsid w:val="00BD08A9"/>
    <w:rsid w:val="00BD1169"/>
    <w:rsid w:val="00BD1F9B"/>
    <w:rsid w:val="00BD2A40"/>
    <w:rsid w:val="00BD5EBB"/>
    <w:rsid w:val="00BD6672"/>
    <w:rsid w:val="00BD74DE"/>
    <w:rsid w:val="00BE11D5"/>
    <w:rsid w:val="00BE3233"/>
    <w:rsid w:val="00BE3B0F"/>
    <w:rsid w:val="00BE3BCC"/>
    <w:rsid w:val="00BE4235"/>
    <w:rsid w:val="00BE5520"/>
    <w:rsid w:val="00BE5C3A"/>
    <w:rsid w:val="00BE7358"/>
    <w:rsid w:val="00BF0104"/>
    <w:rsid w:val="00BF2898"/>
    <w:rsid w:val="00BF2D07"/>
    <w:rsid w:val="00C006CC"/>
    <w:rsid w:val="00C00B50"/>
    <w:rsid w:val="00C012F5"/>
    <w:rsid w:val="00C01871"/>
    <w:rsid w:val="00C02E66"/>
    <w:rsid w:val="00C03329"/>
    <w:rsid w:val="00C043E7"/>
    <w:rsid w:val="00C04B32"/>
    <w:rsid w:val="00C05532"/>
    <w:rsid w:val="00C06982"/>
    <w:rsid w:val="00C072B1"/>
    <w:rsid w:val="00C10E6A"/>
    <w:rsid w:val="00C1214A"/>
    <w:rsid w:val="00C1318A"/>
    <w:rsid w:val="00C15D9E"/>
    <w:rsid w:val="00C20E76"/>
    <w:rsid w:val="00C21882"/>
    <w:rsid w:val="00C229E0"/>
    <w:rsid w:val="00C2796D"/>
    <w:rsid w:val="00C3048B"/>
    <w:rsid w:val="00C31363"/>
    <w:rsid w:val="00C34ABC"/>
    <w:rsid w:val="00C35D25"/>
    <w:rsid w:val="00C36AF4"/>
    <w:rsid w:val="00C40332"/>
    <w:rsid w:val="00C434A1"/>
    <w:rsid w:val="00C44003"/>
    <w:rsid w:val="00C4420D"/>
    <w:rsid w:val="00C44D58"/>
    <w:rsid w:val="00C471BD"/>
    <w:rsid w:val="00C479A5"/>
    <w:rsid w:val="00C47ECB"/>
    <w:rsid w:val="00C5175A"/>
    <w:rsid w:val="00C51AB8"/>
    <w:rsid w:val="00C51D85"/>
    <w:rsid w:val="00C52DB2"/>
    <w:rsid w:val="00C531C8"/>
    <w:rsid w:val="00C536F0"/>
    <w:rsid w:val="00C55927"/>
    <w:rsid w:val="00C55B97"/>
    <w:rsid w:val="00C55CBD"/>
    <w:rsid w:val="00C60FC3"/>
    <w:rsid w:val="00C645E2"/>
    <w:rsid w:val="00C64BF5"/>
    <w:rsid w:val="00C655BD"/>
    <w:rsid w:val="00C65607"/>
    <w:rsid w:val="00C71988"/>
    <w:rsid w:val="00C73B9F"/>
    <w:rsid w:val="00C73C11"/>
    <w:rsid w:val="00C74239"/>
    <w:rsid w:val="00C8041F"/>
    <w:rsid w:val="00C85C7C"/>
    <w:rsid w:val="00C96A57"/>
    <w:rsid w:val="00C97951"/>
    <w:rsid w:val="00CA0D12"/>
    <w:rsid w:val="00CA433D"/>
    <w:rsid w:val="00CA577B"/>
    <w:rsid w:val="00CA586B"/>
    <w:rsid w:val="00CA7A69"/>
    <w:rsid w:val="00CB0838"/>
    <w:rsid w:val="00CB3A01"/>
    <w:rsid w:val="00CB3A0D"/>
    <w:rsid w:val="00CB5932"/>
    <w:rsid w:val="00CB6B7D"/>
    <w:rsid w:val="00CC1154"/>
    <w:rsid w:val="00CC4093"/>
    <w:rsid w:val="00CC494E"/>
    <w:rsid w:val="00CD07A1"/>
    <w:rsid w:val="00CD29CC"/>
    <w:rsid w:val="00CD2BEE"/>
    <w:rsid w:val="00CD4D14"/>
    <w:rsid w:val="00CD5137"/>
    <w:rsid w:val="00CD625A"/>
    <w:rsid w:val="00CE024E"/>
    <w:rsid w:val="00CE0285"/>
    <w:rsid w:val="00CE0AE7"/>
    <w:rsid w:val="00CE0B09"/>
    <w:rsid w:val="00CE0C6E"/>
    <w:rsid w:val="00CE100B"/>
    <w:rsid w:val="00CE1450"/>
    <w:rsid w:val="00CE2C63"/>
    <w:rsid w:val="00CE3407"/>
    <w:rsid w:val="00CE375F"/>
    <w:rsid w:val="00CE5CE0"/>
    <w:rsid w:val="00CE6BBB"/>
    <w:rsid w:val="00CE7822"/>
    <w:rsid w:val="00CF01B5"/>
    <w:rsid w:val="00CF1F1F"/>
    <w:rsid w:val="00CF20CA"/>
    <w:rsid w:val="00CF30A5"/>
    <w:rsid w:val="00CF33C3"/>
    <w:rsid w:val="00CF37A4"/>
    <w:rsid w:val="00CF6CDA"/>
    <w:rsid w:val="00CF73D3"/>
    <w:rsid w:val="00CF7897"/>
    <w:rsid w:val="00D00A2B"/>
    <w:rsid w:val="00D035FE"/>
    <w:rsid w:val="00D03AC1"/>
    <w:rsid w:val="00D03E5D"/>
    <w:rsid w:val="00D05079"/>
    <w:rsid w:val="00D0593C"/>
    <w:rsid w:val="00D110B7"/>
    <w:rsid w:val="00D127BA"/>
    <w:rsid w:val="00D13BB6"/>
    <w:rsid w:val="00D13CAA"/>
    <w:rsid w:val="00D15BC0"/>
    <w:rsid w:val="00D167FF"/>
    <w:rsid w:val="00D16AB5"/>
    <w:rsid w:val="00D203F1"/>
    <w:rsid w:val="00D20494"/>
    <w:rsid w:val="00D2157B"/>
    <w:rsid w:val="00D221F4"/>
    <w:rsid w:val="00D2361F"/>
    <w:rsid w:val="00D2464E"/>
    <w:rsid w:val="00D25761"/>
    <w:rsid w:val="00D31D2F"/>
    <w:rsid w:val="00D33097"/>
    <w:rsid w:val="00D33B99"/>
    <w:rsid w:val="00D3630C"/>
    <w:rsid w:val="00D40761"/>
    <w:rsid w:val="00D4399E"/>
    <w:rsid w:val="00D43DD4"/>
    <w:rsid w:val="00D5012F"/>
    <w:rsid w:val="00D50902"/>
    <w:rsid w:val="00D51247"/>
    <w:rsid w:val="00D51D54"/>
    <w:rsid w:val="00D5561C"/>
    <w:rsid w:val="00D55989"/>
    <w:rsid w:val="00D5607A"/>
    <w:rsid w:val="00D563BB"/>
    <w:rsid w:val="00D57014"/>
    <w:rsid w:val="00D573DF"/>
    <w:rsid w:val="00D57899"/>
    <w:rsid w:val="00D61831"/>
    <w:rsid w:val="00D62412"/>
    <w:rsid w:val="00D6245A"/>
    <w:rsid w:val="00D667E4"/>
    <w:rsid w:val="00D673B0"/>
    <w:rsid w:val="00D677C0"/>
    <w:rsid w:val="00D7277D"/>
    <w:rsid w:val="00D762BF"/>
    <w:rsid w:val="00D81632"/>
    <w:rsid w:val="00D81E13"/>
    <w:rsid w:val="00D8403C"/>
    <w:rsid w:val="00D84763"/>
    <w:rsid w:val="00D869E9"/>
    <w:rsid w:val="00D86F57"/>
    <w:rsid w:val="00D87243"/>
    <w:rsid w:val="00D8785A"/>
    <w:rsid w:val="00D915CB"/>
    <w:rsid w:val="00D9184D"/>
    <w:rsid w:val="00D91D76"/>
    <w:rsid w:val="00D91E2B"/>
    <w:rsid w:val="00D93323"/>
    <w:rsid w:val="00D96036"/>
    <w:rsid w:val="00DA09B3"/>
    <w:rsid w:val="00DA0B48"/>
    <w:rsid w:val="00DA2DAB"/>
    <w:rsid w:val="00DA373C"/>
    <w:rsid w:val="00DA4DCB"/>
    <w:rsid w:val="00DA5BEB"/>
    <w:rsid w:val="00DA62AE"/>
    <w:rsid w:val="00DA63C1"/>
    <w:rsid w:val="00DB0967"/>
    <w:rsid w:val="00DB0E43"/>
    <w:rsid w:val="00DB3333"/>
    <w:rsid w:val="00DB6B67"/>
    <w:rsid w:val="00DB7387"/>
    <w:rsid w:val="00DB79B7"/>
    <w:rsid w:val="00DC078C"/>
    <w:rsid w:val="00DC0E44"/>
    <w:rsid w:val="00DC3084"/>
    <w:rsid w:val="00DC3CB7"/>
    <w:rsid w:val="00DC68A6"/>
    <w:rsid w:val="00DD1EDE"/>
    <w:rsid w:val="00DD23B8"/>
    <w:rsid w:val="00DD446D"/>
    <w:rsid w:val="00DD5674"/>
    <w:rsid w:val="00DD647C"/>
    <w:rsid w:val="00DD66DB"/>
    <w:rsid w:val="00DD6D3F"/>
    <w:rsid w:val="00DE0CF9"/>
    <w:rsid w:val="00DE1465"/>
    <w:rsid w:val="00DE1AB6"/>
    <w:rsid w:val="00DE473D"/>
    <w:rsid w:val="00DE5A31"/>
    <w:rsid w:val="00DE6F11"/>
    <w:rsid w:val="00DE7498"/>
    <w:rsid w:val="00DE7761"/>
    <w:rsid w:val="00DF0045"/>
    <w:rsid w:val="00DF0A17"/>
    <w:rsid w:val="00DF1325"/>
    <w:rsid w:val="00DF20CE"/>
    <w:rsid w:val="00DF4185"/>
    <w:rsid w:val="00DF51C0"/>
    <w:rsid w:val="00DF71F5"/>
    <w:rsid w:val="00DF728E"/>
    <w:rsid w:val="00DF7296"/>
    <w:rsid w:val="00E05554"/>
    <w:rsid w:val="00E055DE"/>
    <w:rsid w:val="00E05C42"/>
    <w:rsid w:val="00E07F06"/>
    <w:rsid w:val="00E108FF"/>
    <w:rsid w:val="00E11E56"/>
    <w:rsid w:val="00E13D66"/>
    <w:rsid w:val="00E1507D"/>
    <w:rsid w:val="00E15923"/>
    <w:rsid w:val="00E21CA1"/>
    <w:rsid w:val="00E23BB2"/>
    <w:rsid w:val="00E25135"/>
    <w:rsid w:val="00E264A3"/>
    <w:rsid w:val="00E27249"/>
    <w:rsid w:val="00E3128E"/>
    <w:rsid w:val="00E3261A"/>
    <w:rsid w:val="00E3285C"/>
    <w:rsid w:val="00E32D7E"/>
    <w:rsid w:val="00E35926"/>
    <w:rsid w:val="00E42F9B"/>
    <w:rsid w:val="00E47383"/>
    <w:rsid w:val="00E51CB3"/>
    <w:rsid w:val="00E553BB"/>
    <w:rsid w:val="00E55790"/>
    <w:rsid w:val="00E56D9F"/>
    <w:rsid w:val="00E56EEE"/>
    <w:rsid w:val="00E60B8D"/>
    <w:rsid w:val="00E62550"/>
    <w:rsid w:val="00E635CD"/>
    <w:rsid w:val="00E652F6"/>
    <w:rsid w:val="00E6598A"/>
    <w:rsid w:val="00E65E8F"/>
    <w:rsid w:val="00E70E71"/>
    <w:rsid w:val="00E7115D"/>
    <w:rsid w:val="00E726E4"/>
    <w:rsid w:val="00E735EC"/>
    <w:rsid w:val="00E74266"/>
    <w:rsid w:val="00E74315"/>
    <w:rsid w:val="00E779AD"/>
    <w:rsid w:val="00E819BC"/>
    <w:rsid w:val="00E81ADE"/>
    <w:rsid w:val="00E8586C"/>
    <w:rsid w:val="00E87CFC"/>
    <w:rsid w:val="00E90B8B"/>
    <w:rsid w:val="00E93210"/>
    <w:rsid w:val="00E938B9"/>
    <w:rsid w:val="00E956E2"/>
    <w:rsid w:val="00E96598"/>
    <w:rsid w:val="00E96D8E"/>
    <w:rsid w:val="00E971EC"/>
    <w:rsid w:val="00EA15E5"/>
    <w:rsid w:val="00EA1E48"/>
    <w:rsid w:val="00EA40CD"/>
    <w:rsid w:val="00EA574A"/>
    <w:rsid w:val="00EA5BD3"/>
    <w:rsid w:val="00EB220C"/>
    <w:rsid w:val="00EB74E0"/>
    <w:rsid w:val="00EB76C2"/>
    <w:rsid w:val="00EC3B73"/>
    <w:rsid w:val="00EC6142"/>
    <w:rsid w:val="00ED1242"/>
    <w:rsid w:val="00ED1571"/>
    <w:rsid w:val="00ED1B7E"/>
    <w:rsid w:val="00ED1FC5"/>
    <w:rsid w:val="00ED2039"/>
    <w:rsid w:val="00ED4577"/>
    <w:rsid w:val="00EE1369"/>
    <w:rsid w:val="00EE2CB3"/>
    <w:rsid w:val="00EE4959"/>
    <w:rsid w:val="00EE5D1C"/>
    <w:rsid w:val="00EE6606"/>
    <w:rsid w:val="00EE7432"/>
    <w:rsid w:val="00EF15D7"/>
    <w:rsid w:val="00EF4FC2"/>
    <w:rsid w:val="00EF7129"/>
    <w:rsid w:val="00EF73DB"/>
    <w:rsid w:val="00F002D3"/>
    <w:rsid w:val="00F00721"/>
    <w:rsid w:val="00F0488C"/>
    <w:rsid w:val="00F068B0"/>
    <w:rsid w:val="00F07460"/>
    <w:rsid w:val="00F12BF2"/>
    <w:rsid w:val="00F13DE2"/>
    <w:rsid w:val="00F14871"/>
    <w:rsid w:val="00F14B2B"/>
    <w:rsid w:val="00F1579B"/>
    <w:rsid w:val="00F17A4C"/>
    <w:rsid w:val="00F21E06"/>
    <w:rsid w:val="00F264A4"/>
    <w:rsid w:val="00F27776"/>
    <w:rsid w:val="00F30088"/>
    <w:rsid w:val="00F3027F"/>
    <w:rsid w:val="00F30E9E"/>
    <w:rsid w:val="00F3370F"/>
    <w:rsid w:val="00F35D0A"/>
    <w:rsid w:val="00F3685D"/>
    <w:rsid w:val="00F37045"/>
    <w:rsid w:val="00F43B94"/>
    <w:rsid w:val="00F43BFF"/>
    <w:rsid w:val="00F503B0"/>
    <w:rsid w:val="00F54179"/>
    <w:rsid w:val="00F553E4"/>
    <w:rsid w:val="00F606DB"/>
    <w:rsid w:val="00F60C67"/>
    <w:rsid w:val="00F613BB"/>
    <w:rsid w:val="00F638E9"/>
    <w:rsid w:val="00F64B1D"/>
    <w:rsid w:val="00F65AAE"/>
    <w:rsid w:val="00F713D5"/>
    <w:rsid w:val="00F739BB"/>
    <w:rsid w:val="00F746BD"/>
    <w:rsid w:val="00F7606A"/>
    <w:rsid w:val="00F77471"/>
    <w:rsid w:val="00F77E48"/>
    <w:rsid w:val="00F86A1D"/>
    <w:rsid w:val="00F910B4"/>
    <w:rsid w:val="00F9181B"/>
    <w:rsid w:val="00F927F6"/>
    <w:rsid w:val="00F93148"/>
    <w:rsid w:val="00F95B6C"/>
    <w:rsid w:val="00F9793F"/>
    <w:rsid w:val="00FA073F"/>
    <w:rsid w:val="00FA2DD3"/>
    <w:rsid w:val="00FA5C25"/>
    <w:rsid w:val="00FA77FD"/>
    <w:rsid w:val="00FB0867"/>
    <w:rsid w:val="00FB2F20"/>
    <w:rsid w:val="00FB366D"/>
    <w:rsid w:val="00FB6EC6"/>
    <w:rsid w:val="00FB7303"/>
    <w:rsid w:val="00FB74DB"/>
    <w:rsid w:val="00FC00A0"/>
    <w:rsid w:val="00FC0C6C"/>
    <w:rsid w:val="00FC171A"/>
    <w:rsid w:val="00FD05EB"/>
    <w:rsid w:val="00FD1310"/>
    <w:rsid w:val="00FD2B8F"/>
    <w:rsid w:val="00FD4661"/>
    <w:rsid w:val="00FD7245"/>
    <w:rsid w:val="00FD73EC"/>
    <w:rsid w:val="00FD7D41"/>
    <w:rsid w:val="00FE162D"/>
    <w:rsid w:val="00FE258E"/>
    <w:rsid w:val="00FE2870"/>
    <w:rsid w:val="00FE57B0"/>
    <w:rsid w:val="00FE64FC"/>
    <w:rsid w:val="00FE7BC6"/>
    <w:rsid w:val="00FF1743"/>
    <w:rsid w:val="00FF1785"/>
    <w:rsid w:val="00FF3259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D0E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C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3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640"/>
    <w:rPr>
      <w:rFonts w:ascii="Tahoma" w:eastAsia="Times New Roman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07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0756"/>
    <w:rPr>
      <w:rFonts w:eastAsia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10756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B3C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3CA3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3C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CA3"/>
    <w:rPr>
      <w:rFonts w:eastAsia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D0E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C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3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640"/>
    <w:rPr>
      <w:rFonts w:ascii="Tahoma" w:eastAsia="Times New Roman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07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0756"/>
    <w:rPr>
      <w:rFonts w:eastAsia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10756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B3C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3CA3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3C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CA3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9" Type="http://schemas.openxmlformats.org/officeDocument/2006/relationships/chart" Target="charts/chart31.xml"/><Relationship Id="rId3" Type="http://schemas.microsoft.com/office/2007/relationships/stylesWithEffects" Target="stylesWithEffects.xml"/><Relationship Id="rId21" Type="http://schemas.openxmlformats.org/officeDocument/2006/relationships/chart" Target="charts/chart13.xml"/><Relationship Id="rId34" Type="http://schemas.openxmlformats.org/officeDocument/2006/relationships/chart" Target="charts/chart26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chart" Target="charts/chart25.xml"/><Relationship Id="rId38" Type="http://schemas.openxmlformats.org/officeDocument/2006/relationships/chart" Target="charts/chart30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37" Type="http://schemas.openxmlformats.org/officeDocument/2006/relationships/chart" Target="charts/chart29.xml"/><Relationship Id="rId40" Type="http://schemas.openxmlformats.org/officeDocument/2006/relationships/chart" Target="charts/chart32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chart" Target="charts/chart28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chart" Target="charts/chart27.xml"/><Relationship Id="rId43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1.xml"/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2.xml"/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3.xml"/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4.xml"/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5.xml"/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6.xml"/><Relationship Id="rId1" Type="http://schemas.openxmlformats.org/officeDocument/2006/relationships/package" Target="../embeddings/Microsoft_Excel_Worksheet16.xlsx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7.xml"/><Relationship Id="rId1" Type="http://schemas.openxmlformats.org/officeDocument/2006/relationships/package" Target="../embeddings/Microsoft_Excel_Worksheet17.xlsx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8.xml"/><Relationship Id="rId1" Type="http://schemas.openxmlformats.org/officeDocument/2006/relationships/package" Target="../embeddings/Microsoft_Excel_Worksheet18.xlsx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9.xml"/><Relationship Id="rId1" Type="http://schemas.openxmlformats.org/officeDocument/2006/relationships/package" Target="../embeddings/Microsoft_Excel_Worksheet19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0.xml"/><Relationship Id="rId1" Type="http://schemas.openxmlformats.org/officeDocument/2006/relationships/package" Target="../embeddings/Microsoft_Excel_Worksheet20.xlsx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1.xml"/><Relationship Id="rId1" Type="http://schemas.openxmlformats.org/officeDocument/2006/relationships/package" Target="../embeddings/Microsoft_Excel_Worksheet21.xlsx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2.xml"/><Relationship Id="rId2" Type="http://schemas.openxmlformats.org/officeDocument/2006/relationships/package" Target="../embeddings/Microsoft_Excel_Worksheet22.xlsx"/><Relationship Id="rId1" Type="http://schemas.openxmlformats.org/officeDocument/2006/relationships/themeOverride" Target="../theme/themeOverride1.xm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3.xml"/><Relationship Id="rId1" Type="http://schemas.openxmlformats.org/officeDocument/2006/relationships/package" Target="../embeddings/Microsoft_Excel_Worksheet23.xlsx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4.xml"/><Relationship Id="rId2" Type="http://schemas.openxmlformats.org/officeDocument/2006/relationships/package" Target="../embeddings/Microsoft_Excel_Worksheet24.xlsx"/><Relationship Id="rId1" Type="http://schemas.openxmlformats.org/officeDocument/2006/relationships/themeOverride" Target="../theme/themeOverride2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5.xml"/><Relationship Id="rId2" Type="http://schemas.openxmlformats.org/officeDocument/2006/relationships/package" Target="../embeddings/Microsoft_Excel_Worksheet25.xlsx"/><Relationship Id="rId1" Type="http://schemas.openxmlformats.org/officeDocument/2006/relationships/themeOverride" Target="../theme/themeOverride3.xm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6.xml"/><Relationship Id="rId1" Type="http://schemas.openxmlformats.org/officeDocument/2006/relationships/package" Target="../embeddings/Microsoft_Excel_Worksheet26.xlsx"/></Relationships>
</file>

<file path=word/charts/_rels/chart2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7.xml"/><Relationship Id="rId1" Type="http://schemas.openxmlformats.org/officeDocument/2006/relationships/package" Target="../embeddings/Microsoft_Excel_Worksheet27.xlsx"/></Relationships>
</file>

<file path=word/charts/_rels/chart2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8.xml"/><Relationship Id="rId1" Type="http://schemas.openxmlformats.org/officeDocument/2006/relationships/package" Target="../embeddings/Microsoft_Excel_Worksheet28.xlsx"/></Relationships>
</file>

<file path=word/charts/_rels/chart2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9.xml"/><Relationship Id="rId1" Type="http://schemas.openxmlformats.org/officeDocument/2006/relationships/package" Target="../embeddings/Microsoft_Excel_Worksheet29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0.xml"/><Relationship Id="rId1" Type="http://schemas.openxmlformats.org/officeDocument/2006/relationships/package" Target="../embeddings/Microsoft_Excel_Worksheet30.xlsx"/></Relationships>
</file>

<file path=word/charts/_rels/chart3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1.xml"/><Relationship Id="rId1" Type="http://schemas.openxmlformats.org/officeDocument/2006/relationships/package" Target="../embeddings/Microsoft_Excel_Worksheet31.xlsx"/></Relationships>
</file>

<file path=word/charts/_rels/chart3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2.xml"/><Relationship Id="rId1" Type="http://schemas.openxmlformats.org/officeDocument/2006/relationships/package" Target="../embeddings/Microsoft_Excel_Worksheet3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National Backlog Average</a:t>
            </a:r>
          </a:p>
          <a:p>
            <a:pPr>
              <a:defRPr sz="1200"/>
            </a:pPr>
            <a:r>
              <a:rPr lang="en-US" sz="1200"/>
              <a:t>Q1 2010 - Q4 2017</a:t>
            </a:r>
          </a:p>
        </c:rich>
      </c:tx>
      <c:layout>
        <c:manualLayout>
          <c:xMode val="edge"/>
          <c:yMode val="edge"/>
          <c:x val="0.36751631387502975"/>
          <c:y val="2.3488773267299187E-2"/>
        </c:manualLayout>
      </c:layout>
      <c:overlay val="1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687374434796577"/>
          <c:y val="0.16794051361954315"/>
          <c:w val="0.83857175288597274"/>
          <c:h val="0.572313235580534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5.81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Sheet1!$C$1:$AH$1</c:f>
              <c:strCache>
                <c:ptCount val="32"/>
                <c:pt idx="0">
                  <c:v>Q1 2010</c:v>
                </c:pt>
                <c:pt idx="1">
                  <c:v>Q2 2010</c:v>
                </c:pt>
                <c:pt idx="2">
                  <c:v>Q3 2010</c:v>
                </c:pt>
                <c:pt idx="3">
                  <c:v>Q4 2010</c:v>
                </c:pt>
                <c:pt idx="4">
                  <c:v>Q1 2011</c:v>
                </c:pt>
                <c:pt idx="5">
                  <c:v>Q2 2011</c:v>
                </c:pt>
                <c:pt idx="6">
                  <c:v>Q3 2011</c:v>
                </c:pt>
                <c:pt idx="7">
                  <c:v>Q4 2011</c:v>
                </c:pt>
                <c:pt idx="8">
                  <c:v>Q1 2012</c:v>
                </c:pt>
                <c:pt idx="9">
                  <c:v>Q2 2012</c:v>
                </c:pt>
                <c:pt idx="10">
                  <c:v>Q3 2012</c:v>
                </c:pt>
                <c:pt idx="11">
                  <c:v>Q4 2012</c:v>
                </c:pt>
                <c:pt idx="12">
                  <c:v>Q1 2013</c:v>
                </c:pt>
                <c:pt idx="13">
                  <c:v>Q2 2013</c:v>
                </c:pt>
                <c:pt idx="14">
                  <c:v>Q3 2013</c:v>
                </c:pt>
                <c:pt idx="15">
                  <c:v>Q4 2013</c:v>
                </c:pt>
                <c:pt idx="16">
                  <c:v>Q1 2014</c:v>
                </c:pt>
                <c:pt idx="17">
                  <c:v>Q2 2014</c:v>
                </c:pt>
                <c:pt idx="18">
                  <c:v>Q3 2014</c:v>
                </c:pt>
                <c:pt idx="19">
                  <c:v>Q4 2014</c:v>
                </c:pt>
                <c:pt idx="20">
                  <c:v>Q1 2015</c:v>
                </c:pt>
                <c:pt idx="21">
                  <c:v>Q2 2015</c:v>
                </c:pt>
                <c:pt idx="22">
                  <c:v>Q3 2015</c:v>
                </c:pt>
                <c:pt idx="23">
                  <c:v>Q4 2015</c:v>
                </c:pt>
                <c:pt idx="24">
                  <c:v>Q1 2016</c:v>
                </c:pt>
                <c:pt idx="25">
                  <c:v>Q2 2016</c:v>
                </c:pt>
                <c:pt idx="26">
                  <c:v>Q3 2016</c:v>
                </c:pt>
                <c:pt idx="27">
                  <c:v>Q4 2016</c:v>
                </c:pt>
                <c:pt idx="28">
                  <c:v>Q1 2017</c:v>
                </c:pt>
                <c:pt idx="29">
                  <c:v>Q2 2017</c:v>
                </c:pt>
                <c:pt idx="30">
                  <c:v>Q32017</c:v>
                </c:pt>
                <c:pt idx="31">
                  <c:v>Q42017</c:v>
                </c:pt>
              </c:strCache>
            </c:strRef>
          </c:cat>
          <c:val>
            <c:numRef>
              <c:f>Sheet1!$C$2:$AH$2</c:f>
              <c:numCache>
                <c:formatCode>General</c:formatCode>
                <c:ptCount val="32"/>
                <c:pt idx="0">
                  <c:v>6.07</c:v>
                </c:pt>
                <c:pt idx="1">
                  <c:v>7.19</c:v>
                </c:pt>
                <c:pt idx="2">
                  <c:v>6.95</c:v>
                </c:pt>
                <c:pt idx="3">
                  <c:v>7.05</c:v>
                </c:pt>
                <c:pt idx="4">
                  <c:v>7.33</c:v>
                </c:pt>
                <c:pt idx="5">
                  <c:v>8.0500000000000007</c:v>
                </c:pt>
                <c:pt idx="6">
                  <c:v>8.08</c:v>
                </c:pt>
                <c:pt idx="7" formatCode="0.0">
                  <c:v>7.82</c:v>
                </c:pt>
                <c:pt idx="8" formatCode="0.0">
                  <c:v>7.4</c:v>
                </c:pt>
                <c:pt idx="9" formatCode="0.0">
                  <c:v>7.72</c:v>
                </c:pt>
                <c:pt idx="10" formatCode="0.0">
                  <c:v>7.9943764366026047</c:v>
                </c:pt>
                <c:pt idx="11" formatCode="0.0">
                  <c:v>8.0109971949517202</c:v>
                </c:pt>
                <c:pt idx="12" formatCode="0.0">
                  <c:v>7.9195159405070825</c:v>
                </c:pt>
                <c:pt idx="13" formatCode="0.0">
                  <c:v>8.1999999999999993</c:v>
                </c:pt>
                <c:pt idx="14" formatCode="0.0">
                  <c:v>8.2096914358461603</c:v>
                </c:pt>
                <c:pt idx="15" formatCode="0.0">
                  <c:v>8.3158638882986882</c:v>
                </c:pt>
                <c:pt idx="16" formatCode="0.0">
                  <c:v>8.0927957616596693</c:v>
                </c:pt>
                <c:pt idx="17" formatCode="0.0">
                  <c:v>8.5276135267549424</c:v>
                </c:pt>
                <c:pt idx="18" formatCode="0.0">
                  <c:v>8.7808684952565752</c:v>
                </c:pt>
                <c:pt idx="19" formatCode="0.0">
                  <c:v>8.6859893912506614</c:v>
                </c:pt>
                <c:pt idx="20" formatCode="0.0">
                  <c:v>8.405468799394308</c:v>
                </c:pt>
                <c:pt idx="21" formatCode="0.0">
                  <c:v>8.488227471681375</c:v>
                </c:pt>
                <c:pt idx="22" formatCode="0.0">
                  <c:v>8.4716216084273874</c:v>
                </c:pt>
                <c:pt idx="23">
                  <c:v>8.6999999999999993</c:v>
                </c:pt>
                <c:pt idx="24">
                  <c:v>8.6</c:v>
                </c:pt>
                <c:pt idx="25">
                  <c:v>8.49</c:v>
                </c:pt>
                <c:pt idx="26">
                  <c:v>8.65</c:v>
                </c:pt>
                <c:pt idx="27">
                  <c:v>8.31</c:v>
                </c:pt>
                <c:pt idx="28">
                  <c:v>8.98</c:v>
                </c:pt>
                <c:pt idx="29">
                  <c:v>8.61</c:v>
                </c:pt>
                <c:pt idx="30">
                  <c:v>9.4499999999999993</c:v>
                </c:pt>
                <c:pt idx="31">
                  <c:v>9.67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26570368"/>
        <c:axId val="326571904"/>
        <c:axId val="0"/>
      </c:bar3DChart>
      <c:catAx>
        <c:axId val="326570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26571904"/>
        <c:crosses val="autoZero"/>
        <c:auto val="1"/>
        <c:lblAlgn val="ctr"/>
        <c:lblOffset val="100"/>
        <c:noMultiLvlLbl val="0"/>
      </c:catAx>
      <c:valAx>
        <c:axId val="326571904"/>
        <c:scaling>
          <c:orientation val="minMax"/>
          <c:min val="3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Months of Backlog</a:t>
                </a:r>
              </a:p>
            </c:rich>
          </c:tx>
          <c:layout>
            <c:manualLayout>
              <c:xMode val="edge"/>
              <c:yMode val="edge"/>
              <c:x val="5.0560296047971999E-2"/>
              <c:y val="0.28208564035502631"/>
            </c:manualLayout>
          </c:layout>
          <c:overlay val="0"/>
        </c:title>
        <c:numFmt formatCode="#,##0.0" sourceLinked="0"/>
        <c:majorTickMark val="out"/>
        <c:minorTickMark val="none"/>
        <c:tickLblPos val="nextTo"/>
        <c:crossAx val="326570368"/>
        <c:crosses val="autoZero"/>
        <c:crossBetween val="between"/>
      </c:valAx>
      <c:spPr>
        <a:noFill/>
        <a:ln w="25347">
          <a:noFill/>
        </a:ln>
      </c:spPr>
    </c:plotArea>
    <c:plotVisOnly val="1"/>
    <c:dispBlanksAs val="gap"/>
    <c:showDLblsOverMax val="0"/>
  </c:chart>
  <c:txPr>
    <a:bodyPr/>
    <a:lstStyle/>
    <a:p>
      <a:pPr>
        <a:defRPr>
          <a:solidFill>
            <a:sysClr val="windowText" lastClr="000000"/>
          </a:solidFill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2539483677483436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2012</c:v>
                </c:pt>
                <c:pt idx="1">
                  <c:v>Q1 2013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0.24439461883408073</c:v>
                </c:pt>
                <c:pt idx="1">
                  <c:v>0.23356009070294784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2012</c:v>
                </c:pt>
                <c:pt idx="1">
                  <c:v>Q1 2013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0.15022421524663676</c:v>
                </c:pt>
                <c:pt idx="1">
                  <c:v>0.11337868480725624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2012</c:v>
                </c:pt>
                <c:pt idx="1">
                  <c:v>Q1 2013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0.21748878923766815</c:v>
                </c:pt>
                <c:pt idx="1">
                  <c:v>0.26303854875283444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2012</c:v>
                </c:pt>
                <c:pt idx="1">
                  <c:v>Q1 2013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0.18161434977578475</c:v>
                </c:pt>
                <c:pt idx="1">
                  <c:v>0.17006802721088435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2012</c:v>
                </c:pt>
                <c:pt idx="1">
                  <c:v>Q1 2013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0.20627802690582961</c:v>
                </c:pt>
                <c:pt idx="1">
                  <c:v>0.2199546485260771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50967296"/>
        <c:axId val="350968832"/>
      </c:barChart>
      <c:catAx>
        <c:axId val="350967296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350968832"/>
        <c:crosses val="autoZero"/>
        <c:auto val="1"/>
        <c:lblAlgn val="ctr"/>
        <c:lblOffset val="100"/>
        <c:noMultiLvlLbl val="1"/>
      </c:catAx>
      <c:valAx>
        <c:axId val="350968832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35096729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2393986809341144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2013</c:v>
                </c:pt>
                <c:pt idx="1">
                  <c:v>Q3 2013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0.19072164948453607</c:v>
                </c:pt>
                <c:pt idx="1">
                  <c:v>0.24223602484472051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2013</c:v>
                </c:pt>
                <c:pt idx="1">
                  <c:v>Q3 2013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0.13917525773195877</c:v>
                </c:pt>
                <c:pt idx="1">
                  <c:v>0.12732919254658384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2013</c:v>
                </c:pt>
                <c:pt idx="1">
                  <c:v>Q3 2013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0.27319587628865977</c:v>
                </c:pt>
                <c:pt idx="1">
                  <c:v>0.25155279503105588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2013</c:v>
                </c:pt>
                <c:pt idx="1">
                  <c:v>Q3 2013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0.15979381443298968</c:v>
                </c:pt>
                <c:pt idx="1">
                  <c:v>0.17391304347826086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2013</c:v>
                </c:pt>
                <c:pt idx="1">
                  <c:v>Q3 2013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0.23711340206185566</c:v>
                </c:pt>
                <c:pt idx="1">
                  <c:v>0.20496894409937888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55980032"/>
        <c:axId val="355981568"/>
      </c:barChart>
      <c:catAx>
        <c:axId val="35598003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355981568"/>
        <c:crosses val="autoZero"/>
        <c:auto val="1"/>
        <c:lblAlgn val="ctr"/>
        <c:lblOffset val="100"/>
        <c:noMultiLvlLbl val="1"/>
      </c:catAx>
      <c:valAx>
        <c:axId val="35598156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35598003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2337644693886345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2013</c:v>
                </c:pt>
                <c:pt idx="1">
                  <c:v>Q1 2014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0.23547400611620795</c:v>
                </c:pt>
                <c:pt idx="1">
                  <c:v>0.20900321543408359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2013</c:v>
                </c:pt>
                <c:pt idx="1">
                  <c:v>Q1 2014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0.13455657492354739</c:v>
                </c:pt>
                <c:pt idx="1">
                  <c:v>0.15434083601286175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2013</c:v>
                </c:pt>
                <c:pt idx="1">
                  <c:v>Q1 2014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0.23241590214067279</c:v>
                </c:pt>
                <c:pt idx="1">
                  <c:v>0.26366559485530544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2013</c:v>
                </c:pt>
                <c:pt idx="1">
                  <c:v>Q1 2014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0.17125382262996941</c:v>
                </c:pt>
                <c:pt idx="1">
                  <c:v>0.18006430868167203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2013</c:v>
                </c:pt>
                <c:pt idx="1">
                  <c:v>Q1 2014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0.22629969418960244</c:v>
                </c:pt>
                <c:pt idx="1">
                  <c:v>0.19292604501607716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52959872"/>
        <c:axId val="352961664"/>
      </c:barChart>
      <c:catAx>
        <c:axId val="35295987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352961664"/>
        <c:crosses val="autoZero"/>
        <c:auto val="1"/>
        <c:lblAlgn val="ctr"/>
        <c:lblOffset val="100"/>
        <c:noMultiLvlLbl val="1"/>
      </c:catAx>
      <c:valAx>
        <c:axId val="352961664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35295987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275091052713359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2014</c:v>
                </c:pt>
                <c:pt idx="1">
                  <c:v>Q3 2014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0.25524475524475526</c:v>
                </c:pt>
                <c:pt idx="1">
                  <c:v>0.29197080291970801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2014</c:v>
                </c:pt>
                <c:pt idx="1">
                  <c:v>Q3 2014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0.13286713286713286</c:v>
                </c:pt>
                <c:pt idx="1">
                  <c:v>0.145985401459854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2014</c:v>
                </c:pt>
                <c:pt idx="1">
                  <c:v>Q3 2014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0.28671328671328672</c:v>
                </c:pt>
                <c:pt idx="1">
                  <c:v>0.22992700729927007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2014</c:v>
                </c:pt>
                <c:pt idx="1">
                  <c:v>Q3 2014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0.17832167832167833</c:v>
                </c:pt>
                <c:pt idx="1">
                  <c:v>0.15693430656934307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2014</c:v>
                </c:pt>
                <c:pt idx="1">
                  <c:v>Q3 2014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0.14685314685314685</c:v>
                </c:pt>
                <c:pt idx="1">
                  <c:v>0.17518248175182483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0741120"/>
        <c:axId val="360759296"/>
      </c:barChart>
      <c:catAx>
        <c:axId val="360741120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360759296"/>
        <c:crosses val="autoZero"/>
        <c:auto val="1"/>
        <c:lblAlgn val="ctr"/>
        <c:lblOffset val="100"/>
        <c:noMultiLvlLbl val="1"/>
      </c:catAx>
      <c:valAx>
        <c:axId val="360759296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36074112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2556288528117248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2014</c:v>
                </c:pt>
                <c:pt idx="1">
                  <c:v>Q1 2015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0.28832116788321166</c:v>
                </c:pt>
                <c:pt idx="1">
                  <c:v>0.28030303030303028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2014</c:v>
                </c:pt>
                <c:pt idx="1">
                  <c:v>Q1 2015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0.12043795620437957</c:v>
                </c:pt>
                <c:pt idx="1">
                  <c:v>0.15151515151515152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2014</c:v>
                </c:pt>
                <c:pt idx="1">
                  <c:v>Q1 2015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0.22992700729927007</c:v>
                </c:pt>
                <c:pt idx="1">
                  <c:v>0.25757575757575757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2014</c:v>
                </c:pt>
                <c:pt idx="1">
                  <c:v>Q1 2015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0.18248175182481752</c:v>
                </c:pt>
                <c:pt idx="1">
                  <c:v>0.16666666666666666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2014</c:v>
                </c:pt>
                <c:pt idx="1">
                  <c:v>Q1 2015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0.17883211678832117</c:v>
                </c:pt>
                <c:pt idx="1">
                  <c:v>0.14393939393939395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56414592"/>
        <c:axId val="356416128"/>
      </c:barChart>
      <c:catAx>
        <c:axId val="35641459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356416128"/>
        <c:crosses val="autoZero"/>
        <c:auto val="1"/>
        <c:lblAlgn val="ctr"/>
        <c:lblOffset val="100"/>
        <c:noMultiLvlLbl val="1"/>
      </c:catAx>
      <c:valAx>
        <c:axId val="35641612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35641459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2015</c:v>
                </c:pt>
                <c:pt idx="1">
                  <c:v>Q3 2015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0.29218106995884774</c:v>
                </c:pt>
                <c:pt idx="1">
                  <c:v>0.28030303030303028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2015</c:v>
                </c:pt>
                <c:pt idx="1">
                  <c:v>Q3 2015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0.13991769547325103</c:v>
                </c:pt>
                <c:pt idx="1">
                  <c:v>0.15151515151515152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2015</c:v>
                </c:pt>
                <c:pt idx="1">
                  <c:v>Q3 2015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0.26748971193415638</c:v>
                </c:pt>
                <c:pt idx="1">
                  <c:v>0.25757575757575757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2015</c:v>
                </c:pt>
                <c:pt idx="1">
                  <c:v>Q3 2015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0.13991769547325103</c:v>
                </c:pt>
                <c:pt idx="1">
                  <c:v>0.16666666666666666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2015</c:v>
                </c:pt>
                <c:pt idx="1">
                  <c:v>Q3 2015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0.16049382716049382</c:v>
                </c:pt>
                <c:pt idx="1">
                  <c:v>0.14393939393939395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1345024"/>
        <c:axId val="361346560"/>
      </c:barChart>
      <c:catAx>
        <c:axId val="361345024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361346560"/>
        <c:crosses val="autoZero"/>
        <c:auto val="1"/>
        <c:lblAlgn val="ctr"/>
        <c:lblOffset val="100"/>
        <c:noMultiLvlLbl val="1"/>
      </c:catAx>
      <c:valAx>
        <c:axId val="361346560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36134502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2015</c:v>
                </c:pt>
                <c:pt idx="1">
                  <c:v>Q4 2015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0.28030303030303028</c:v>
                </c:pt>
                <c:pt idx="1">
                  <c:v>0.28199999999999997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2015</c:v>
                </c:pt>
                <c:pt idx="1">
                  <c:v>Q4 2015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0.15151515151515152</c:v>
                </c:pt>
                <c:pt idx="1">
                  <c:v>0.13900000000000001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2015</c:v>
                </c:pt>
                <c:pt idx="1">
                  <c:v>Q4 2015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0.25757575757575757</c:v>
                </c:pt>
                <c:pt idx="1">
                  <c:v>0.27700000000000002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2015</c:v>
                </c:pt>
                <c:pt idx="1">
                  <c:v>Q4 2015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0.16666666666666666</c:v>
                </c:pt>
                <c:pt idx="1">
                  <c:v>0.17799999999999999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2015</c:v>
                </c:pt>
                <c:pt idx="1">
                  <c:v>Q4 2015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0.14393939393939395</c:v>
                </c:pt>
                <c:pt idx="1">
                  <c:v>0.124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0839808"/>
        <c:axId val="363057536"/>
      </c:barChart>
      <c:catAx>
        <c:axId val="360839808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363057536"/>
        <c:crosses val="autoZero"/>
        <c:auto val="1"/>
        <c:lblAlgn val="ctr"/>
        <c:lblOffset val="100"/>
        <c:noMultiLvlLbl val="1"/>
      </c:catAx>
      <c:valAx>
        <c:axId val="363057536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36083980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2015</c:v>
                </c:pt>
                <c:pt idx="1">
                  <c:v>Q1 2016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0.28199999999999997</c:v>
                </c:pt>
                <c:pt idx="1">
                  <c:v>0.26600000000000001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2015</c:v>
                </c:pt>
                <c:pt idx="1">
                  <c:v>Q1 2016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0.13900000000000001</c:v>
                </c:pt>
                <c:pt idx="1">
                  <c:v>7.0999999999999994E-2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2015</c:v>
                </c:pt>
                <c:pt idx="1">
                  <c:v>Q1 2016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0.27700000000000002</c:v>
                </c:pt>
                <c:pt idx="1">
                  <c:v>0.32100000000000001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2015</c:v>
                </c:pt>
                <c:pt idx="1">
                  <c:v>Q1 2016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0.17799999999999999</c:v>
                </c:pt>
                <c:pt idx="1">
                  <c:v>0.23400000000000001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2015</c:v>
                </c:pt>
                <c:pt idx="1">
                  <c:v>Q1 2016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0.124</c:v>
                </c:pt>
                <c:pt idx="1">
                  <c:v>0.109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3206144"/>
        <c:axId val="363207680"/>
      </c:barChart>
      <c:catAx>
        <c:axId val="363206144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363207680"/>
        <c:crosses val="autoZero"/>
        <c:auto val="1"/>
        <c:lblAlgn val="ctr"/>
        <c:lblOffset val="100"/>
        <c:noMultiLvlLbl val="1"/>
      </c:catAx>
      <c:valAx>
        <c:axId val="363207680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36320614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2016</c:v>
                </c:pt>
                <c:pt idx="1">
                  <c:v>Q3 2016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0.25850000000000001</c:v>
                </c:pt>
                <c:pt idx="1">
                  <c:v>0.27600000000000002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2016</c:v>
                </c:pt>
                <c:pt idx="1">
                  <c:v>Q3 2016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0.1024</c:v>
                </c:pt>
                <c:pt idx="1">
                  <c:v>0.13400000000000001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2016</c:v>
                </c:pt>
                <c:pt idx="1">
                  <c:v>Q3 2016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0.31219999999999998</c:v>
                </c:pt>
                <c:pt idx="1">
                  <c:v>0.27200000000000002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2016</c:v>
                </c:pt>
                <c:pt idx="1">
                  <c:v>Q3 2016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0.2341</c:v>
                </c:pt>
                <c:pt idx="1">
                  <c:v>0.189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2016</c:v>
                </c:pt>
                <c:pt idx="1">
                  <c:v>Q3 2016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9.2700000000000005E-2</c:v>
                </c:pt>
                <c:pt idx="1">
                  <c:v>0.13400000000000001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3077632"/>
        <c:axId val="363079168"/>
      </c:barChart>
      <c:catAx>
        <c:axId val="36307763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363079168"/>
        <c:crosses val="autoZero"/>
        <c:auto val="1"/>
        <c:lblAlgn val="ctr"/>
        <c:lblOffset val="100"/>
        <c:noMultiLvlLbl val="1"/>
      </c:catAx>
      <c:valAx>
        <c:axId val="36307916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36307763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2016</c:v>
                </c:pt>
                <c:pt idx="1">
                  <c:v>Q1 2017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0.16200000000000001</c:v>
                </c:pt>
                <c:pt idx="1">
                  <c:v>0.26400000000000001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2016</c:v>
                </c:pt>
                <c:pt idx="1">
                  <c:v>Q1 2017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0.14699999999999999</c:v>
                </c:pt>
                <c:pt idx="1">
                  <c:v>0.156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2016</c:v>
                </c:pt>
                <c:pt idx="1">
                  <c:v>Q1 2017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0.26</c:v>
                </c:pt>
                <c:pt idx="1">
                  <c:v>0.222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2016</c:v>
                </c:pt>
                <c:pt idx="1">
                  <c:v>Q1 2017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0.24</c:v>
                </c:pt>
                <c:pt idx="1">
                  <c:v>0.22600000000000001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2016</c:v>
                </c:pt>
                <c:pt idx="1">
                  <c:v>Q1 2017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0.191</c:v>
                </c:pt>
                <c:pt idx="1">
                  <c:v>0.13200000000000001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3321984"/>
        <c:axId val="363331968"/>
      </c:barChart>
      <c:catAx>
        <c:axId val="363321984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363331968"/>
        <c:crosses val="autoZero"/>
        <c:auto val="1"/>
        <c:lblAlgn val="ctr"/>
        <c:lblOffset val="100"/>
        <c:noMultiLvlLbl val="1"/>
      </c:catAx>
      <c:valAx>
        <c:axId val="36333196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36332198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2.48062015503876E-2"/>
          <c:y val="0.19796954314721049"/>
          <c:w val="0.95503875968992269"/>
          <c:h val="0.601522842639600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2009</c:v>
                </c:pt>
                <c:pt idx="1">
                  <c:v>Q2 2009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0.22921914357682618</c:v>
                </c:pt>
                <c:pt idx="1">
                  <c:v>0.1853035143769968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0"/>
                  <c:y val="7.444442913872401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2009</c:v>
                </c:pt>
                <c:pt idx="1">
                  <c:v>Q2 2009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7.556675062972292E-3</c:v>
                </c:pt>
                <c:pt idx="1">
                  <c:v>6.7092651757188496E-2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2009</c:v>
                </c:pt>
                <c:pt idx="1">
                  <c:v>Q2 2009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0.2871536523929471</c:v>
                </c:pt>
                <c:pt idx="1">
                  <c:v>0.22044728434504793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4.0528685533461331E-3"/>
                  <c:y val="1.1166664370808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2009</c:v>
                </c:pt>
                <c:pt idx="1">
                  <c:v>Q2 2009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0.20403022670025189</c:v>
                </c:pt>
                <c:pt idx="1">
                  <c:v>0.23003194888178913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2009</c:v>
                </c:pt>
                <c:pt idx="1">
                  <c:v>Q2 2009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0.27204030226700254</c:v>
                </c:pt>
                <c:pt idx="1">
                  <c:v>0.29712460063897761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26220800"/>
        <c:axId val="326271744"/>
      </c:barChart>
      <c:catAx>
        <c:axId val="326220800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326271744"/>
        <c:crosses val="autoZero"/>
        <c:auto val="1"/>
        <c:lblAlgn val="ctr"/>
        <c:lblOffset val="100"/>
        <c:noMultiLvlLbl val="1"/>
      </c:catAx>
      <c:valAx>
        <c:axId val="326271744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32622080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7.14959002217746E-2"/>
          <c:y val="2.1052799872097204E-2"/>
          <c:w val="0.83877108384708265"/>
          <c:h val="0.12163449112008209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2017</c:v>
                </c:pt>
                <c:pt idx="1">
                  <c:v>Q3 2017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0.11792452830188679</c:v>
                </c:pt>
                <c:pt idx="1">
                  <c:v>0.31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2017</c:v>
                </c:pt>
                <c:pt idx="1">
                  <c:v>Q3 2017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0.14150943396226415</c:v>
                </c:pt>
                <c:pt idx="1">
                  <c:v>0.157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2017</c:v>
                </c:pt>
                <c:pt idx="1">
                  <c:v>Q3 2017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0.15094339622641509</c:v>
                </c:pt>
                <c:pt idx="1">
                  <c:v>0.193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2017</c:v>
                </c:pt>
                <c:pt idx="1">
                  <c:v>Q3 2017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0.12735849056603774</c:v>
                </c:pt>
                <c:pt idx="1">
                  <c:v>0.218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2017</c:v>
                </c:pt>
                <c:pt idx="1">
                  <c:v>Q3 2017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0.16981132075471697</c:v>
                </c:pt>
                <c:pt idx="1">
                  <c:v>0.122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3750912"/>
        <c:axId val="363752448"/>
      </c:barChart>
      <c:catAx>
        <c:axId val="36375091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363752448"/>
        <c:crosses val="autoZero"/>
        <c:auto val="1"/>
        <c:lblAlgn val="ctr"/>
        <c:lblOffset val="100"/>
        <c:noMultiLvlLbl val="1"/>
      </c:catAx>
      <c:valAx>
        <c:axId val="36375244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36375091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002422774076318E-2"/>
          <c:y val="0.23036662272419567"/>
          <c:w val="0.90836324462043672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2017</c:v>
                </c:pt>
                <c:pt idx="1">
                  <c:v>Q1 2018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 formatCode="0.0%">
                  <c:v>0.11458333333333333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2017</c:v>
                </c:pt>
                <c:pt idx="1">
                  <c:v>Q1 2018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 formatCode="0.0%">
                  <c:v>0.22395833333333334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2017</c:v>
                </c:pt>
                <c:pt idx="1">
                  <c:v>Q1 2018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 formatCode="0.0%">
                  <c:v>0.22395833333333334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2017</c:v>
                </c:pt>
                <c:pt idx="1">
                  <c:v>Q1 2018</c:v>
                </c:pt>
              </c:strCache>
            </c:strRef>
          </c:cat>
          <c:val>
            <c:numRef>
              <c:f>Sheet1!$E$2:$E$3</c:f>
              <c:numCache>
                <c:formatCode>General</c:formatCode>
                <c:ptCount val="2"/>
                <c:pt idx="0" formatCode="0.0%">
                  <c:v>0.109375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Q4 2017</c:v>
                </c:pt>
                <c:pt idx="1">
                  <c:v>Q1 2018</c:v>
                </c:pt>
              </c:strCache>
            </c:strRef>
          </c:cat>
          <c:val>
            <c:numRef>
              <c:f>Sheet1!$F$2:$F$3</c:f>
              <c:numCache>
                <c:formatCode>General</c:formatCode>
                <c:ptCount val="2"/>
                <c:pt idx="0" formatCode="0.0%">
                  <c:v>0.328125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3610496"/>
        <c:axId val="363612032"/>
      </c:barChart>
      <c:catAx>
        <c:axId val="363610496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363612032"/>
        <c:crosses val="autoZero"/>
        <c:auto val="1"/>
        <c:lblAlgn val="ctr"/>
        <c:lblOffset val="100"/>
        <c:noMultiLvlLbl val="1"/>
      </c:catAx>
      <c:valAx>
        <c:axId val="363612032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36361049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292941562683505E-2"/>
          <c:y val="0.14502831251736226"/>
          <c:w val="0.8840941922009159"/>
          <c:h val="0.592786219413606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Northeast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Sheet1!$A$2:$A$37</c:f>
              <c:strCache>
                <c:ptCount val="36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  <c:pt idx="35">
                  <c:v>Q4 2017</c:v>
                </c:pt>
              </c:strCache>
            </c:strRef>
          </c:cat>
          <c:val>
            <c:numRef>
              <c:f>Sheet1!$B$2:$B$37</c:f>
              <c:numCache>
                <c:formatCode>0.00</c:formatCode>
                <c:ptCount val="36"/>
                <c:pt idx="0">
                  <c:v>4.8</c:v>
                </c:pt>
                <c:pt idx="1">
                  <c:v>4</c:v>
                </c:pt>
                <c:pt idx="2">
                  <c:v>4.4000000000000004</c:v>
                </c:pt>
                <c:pt idx="3">
                  <c:v>6</c:v>
                </c:pt>
                <c:pt idx="4">
                  <c:v>6</c:v>
                </c:pt>
                <c:pt idx="5">
                  <c:v>7.2</c:v>
                </c:pt>
                <c:pt idx="6">
                  <c:v>7.1999999999999993</c:v>
                </c:pt>
                <c:pt idx="7">
                  <c:v>6</c:v>
                </c:pt>
                <c:pt idx="8">
                  <c:v>6.4</c:v>
                </c:pt>
                <c:pt idx="9">
                  <c:v>6</c:v>
                </c:pt>
                <c:pt idx="10">
                  <c:v>7.1999999999999993</c:v>
                </c:pt>
                <c:pt idx="11">
                  <c:v>6</c:v>
                </c:pt>
                <c:pt idx="12">
                  <c:v>4.5</c:v>
                </c:pt>
                <c:pt idx="13">
                  <c:v>4.8000000000000007</c:v>
                </c:pt>
                <c:pt idx="14">
                  <c:v>6</c:v>
                </c:pt>
                <c:pt idx="15">
                  <c:v>6</c:v>
                </c:pt>
                <c:pt idx="16">
                  <c:v>6.1714285714285708</c:v>
                </c:pt>
                <c:pt idx="17">
                  <c:v>7.1999999999999993</c:v>
                </c:pt>
                <c:pt idx="18">
                  <c:v>6</c:v>
                </c:pt>
                <c:pt idx="19">
                  <c:v>6</c:v>
                </c:pt>
                <c:pt idx="20">
                  <c:v>6</c:v>
                </c:pt>
                <c:pt idx="21">
                  <c:v>7.1999999999999993</c:v>
                </c:pt>
                <c:pt idx="22">
                  <c:v>9</c:v>
                </c:pt>
                <c:pt idx="23">
                  <c:v>7.1999999999999993</c:v>
                </c:pt>
                <c:pt idx="24">
                  <c:v>9</c:v>
                </c:pt>
                <c:pt idx="25">
                  <c:v>7.8857142857142852</c:v>
                </c:pt>
                <c:pt idx="26">
                  <c:v>7.8857142857142852</c:v>
                </c:pt>
                <c:pt idx="27">
                  <c:v>8.1</c:v>
                </c:pt>
                <c:pt idx="28">
                  <c:v>7.2</c:v>
                </c:pt>
                <c:pt idx="29">
                  <c:v>6</c:v>
                </c:pt>
                <c:pt idx="30">
                  <c:v>7.2</c:v>
                </c:pt>
                <c:pt idx="31">
                  <c:v>7.2</c:v>
                </c:pt>
                <c:pt idx="32">
                  <c:v>7.2</c:v>
                </c:pt>
                <c:pt idx="33">
                  <c:v>9</c:v>
                </c:pt>
                <c:pt idx="34">
                  <c:v>7.2</c:v>
                </c:pt>
                <c:pt idx="35">
                  <c:v>8.61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6044288"/>
        <c:axId val="366055424"/>
      </c:barChart>
      <c:catAx>
        <c:axId val="366044288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low"/>
        <c:txPr>
          <a:bodyPr rot="-5400000" vert="horz"/>
          <a:lstStyle/>
          <a:p>
            <a:pPr>
              <a:defRPr/>
            </a:pPr>
            <a:endParaRPr lang="en-US"/>
          </a:p>
        </c:txPr>
        <c:crossAx val="366055424"/>
        <c:crosses val="autoZero"/>
        <c:auto val="1"/>
        <c:lblAlgn val="ctr"/>
        <c:lblOffset val="100"/>
        <c:tickLblSkip val="1"/>
        <c:noMultiLvlLbl val="1"/>
      </c:catAx>
      <c:valAx>
        <c:axId val="366055424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one"/>
        <c:crossAx val="36604428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07976108849013E-2"/>
          <c:y val="0.19127191321933817"/>
          <c:w val="0.88196449371741958"/>
          <c:h val="0.544050183548671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South</c:v>
                </c:pt>
              </c:strCache>
            </c:strRef>
          </c:tx>
          <c:spPr>
            <a:solidFill>
              <a:srgbClr val="9BBB59">
                <a:lumMod val="75000"/>
              </a:srgb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Sheet1!$A$2:$A$37</c:f>
              <c:strCache>
                <c:ptCount val="36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  <c:pt idx="35">
                  <c:v>Q4 2017</c:v>
                </c:pt>
              </c:strCache>
            </c:strRef>
          </c:cat>
          <c:val>
            <c:numRef>
              <c:f>Sheet1!$B$2:$B$37</c:f>
              <c:numCache>
                <c:formatCode>0.0</c:formatCode>
                <c:ptCount val="36"/>
                <c:pt idx="0">
                  <c:v>7.1999999999999993</c:v>
                </c:pt>
                <c:pt idx="1">
                  <c:v>7.2</c:v>
                </c:pt>
                <c:pt idx="2">
                  <c:v>5.1428571428571423</c:v>
                </c:pt>
                <c:pt idx="3">
                  <c:v>5.1066398390342052</c:v>
                </c:pt>
                <c:pt idx="4">
                  <c:v>6</c:v>
                </c:pt>
                <c:pt idx="5">
                  <c:v>7.2</c:v>
                </c:pt>
                <c:pt idx="6">
                  <c:v>6</c:v>
                </c:pt>
                <c:pt idx="7">
                  <c:v>6.6821705426356584</c:v>
                </c:pt>
                <c:pt idx="8">
                  <c:v>7.1999999999999993</c:v>
                </c:pt>
                <c:pt idx="9">
                  <c:v>8.3225414811817089</c:v>
                </c:pt>
                <c:pt idx="10">
                  <c:v>9.3333333333333339</c:v>
                </c:pt>
                <c:pt idx="11">
                  <c:v>7.1999999999999993</c:v>
                </c:pt>
                <c:pt idx="12">
                  <c:v>6.66</c:v>
                </c:pt>
                <c:pt idx="13">
                  <c:v>7.1999999999999993</c:v>
                </c:pt>
                <c:pt idx="14">
                  <c:v>8.5714285714285712</c:v>
                </c:pt>
                <c:pt idx="15">
                  <c:v>8.5714285714285712</c:v>
                </c:pt>
                <c:pt idx="16">
                  <c:v>8.64</c:v>
                </c:pt>
                <c:pt idx="17">
                  <c:v>8.0357142857142847</c:v>
                </c:pt>
                <c:pt idx="18">
                  <c:v>8.82</c:v>
                </c:pt>
                <c:pt idx="19">
                  <c:v>7.5789473684210522</c:v>
                </c:pt>
                <c:pt idx="20">
                  <c:v>7.1999999999999993</c:v>
                </c:pt>
                <c:pt idx="21">
                  <c:v>7.1999999999999993</c:v>
                </c:pt>
                <c:pt idx="22">
                  <c:v>7.1999999999999993</c:v>
                </c:pt>
                <c:pt idx="23">
                  <c:v>8.7857142857142847</c:v>
                </c:pt>
                <c:pt idx="24">
                  <c:v>7.5</c:v>
                </c:pt>
                <c:pt idx="25">
                  <c:v>8.5714285714285712</c:v>
                </c:pt>
                <c:pt idx="26">
                  <c:v>9.702312138728324</c:v>
                </c:pt>
                <c:pt idx="27">
                  <c:v>9.17</c:v>
                </c:pt>
                <c:pt idx="28">
                  <c:v>8.57</c:v>
                </c:pt>
                <c:pt idx="29">
                  <c:v>8.75</c:v>
                </c:pt>
                <c:pt idx="30">
                  <c:v>7.8</c:v>
                </c:pt>
                <c:pt idx="31">
                  <c:v>7.78</c:v>
                </c:pt>
                <c:pt idx="32">
                  <c:v>7.8</c:v>
                </c:pt>
                <c:pt idx="33">
                  <c:v>8.1999999999999993</c:v>
                </c:pt>
                <c:pt idx="34">
                  <c:v>9.5399999999999991</c:v>
                </c:pt>
                <c:pt idx="35">
                  <c:v>9.33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3645952"/>
        <c:axId val="364566400"/>
      </c:barChart>
      <c:catAx>
        <c:axId val="363645952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low"/>
        <c:txPr>
          <a:bodyPr rot="-5400000" vert="horz"/>
          <a:lstStyle/>
          <a:p>
            <a:pPr>
              <a:defRPr/>
            </a:pPr>
            <a:endParaRPr lang="en-US"/>
          </a:p>
        </c:txPr>
        <c:crossAx val="364566400"/>
        <c:crosses val="autoZero"/>
        <c:auto val="1"/>
        <c:lblAlgn val="ctr"/>
        <c:lblOffset val="100"/>
        <c:tickLblSkip val="1"/>
        <c:noMultiLvlLbl val="1"/>
      </c:catAx>
      <c:valAx>
        <c:axId val="36456640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36364595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397498245050197E-2"/>
          <c:y val="0.13776914634121298"/>
          <c:w val="0.90369782724527858"/>
          <c:h val="0.620612679350358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Middle states</c:v>
                </c:pt>
              </c:strCache>
            </c:strRef>
          </c:tx>
          <c:spPr>
            <a:solidFill>
              <a:srgbClr val="8064A2">
                <a:lumMod val="75000"/>
              </a:srgbClr>
            </a:solidFill>
          </c:spPr>
          <c:invertIfNegative val="0"/>
          <c:dLbls>
            <c:dLbl>
              <c:idx val="15"/>
              <c:layout>
                <c:manualLayout>
                  <c:x val="0"/>
                  <c:y val="-1.13107048059670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"/>
                  <c:y val="-3.01431801055011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0"/>
                  <c:y val="-2.63752825923136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0"/>
                  <c:y val="-3.39110776186887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Sheet1!$A$2:$A$37</c:f>
              <c:strCache>
                <c:ptCount val="36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  <c:pt idx="35">
                  <c:v>Q4 2017</c:v>
                </c:pt>
              </c:strCache>
            </c:strRef>
          </c:cat>
          <c:val>
            <c:numRef>
              <c:f>Sheet1!$B$2:$B$37</c:f>
              <c:numCache>
                <c:formatCode>0.0</c:formatCode>
                <c:ptCount val="36"/>
                <c:pt idx="0">
                  <c:v>5.0999999999999996</c:v>
                </c:pt>
                <c:pt idx="1">
                  <c:v>5.0999999999999996</c:v>
                </c:pt>
                <c:pt idx="2">
                  <c:v>3.8</c:v>
                </c:pt>
                <c:pt idx="3">
                  <c:v>3.8</c:v>
                </c:pt>
                <c:pt idx="4">
                  <c:v>3.8</c:v>
                </c:pt>
                <c:pt idx="5">
                  <c:v>6</c:v>
                </c:pt>
                <c:pt idx="6">
                  <c:v>4</c:v>
                </c:pt>
                <c:pt idx="7">
                  <c:v>4.8</c:v>
                </c:pt>
                <c:pt idx="8">
                  <c:v>5.3</c:v>
                </c:pt>
                <c:pt idx="9">
                  <c:v>5.833333333333333</c:v>
                </c:pt>
                <c:pt idx="10">
                  <c:v>4.6547619047619042</c:v>
                </c:pt>
                <c:pt idx="11">
                  <c:v>6</c:v>
                </c:pt>
                <c:pt idx="12">
                  <c:v>6</c:v>
                </c:pt>
                <c:pt idx="13">
                  <c:v>6.4</c:v>
                </c:pt>
                <c:pt idx="14">
                  <c:v>6</c:v>
                </c:pt>
                <c:pt idx="15">
                  <c:v>6</c:v>
                </c:pt>
                <c:pt idx="16">
                  <c:v>5.5714285714285712</c:v>
                </c:pt>
                <c:pt idx="17">
                  <c:v>6</c:v>
                </c:pt>
                <c:pt idx="18">
                  <c:v>5.5714285714285712</c:v>
                </c:pt>
                <c:pt idx="19">
                  <c:v>6</c:v>
                </c:pt>
                <c:pt idx="20">
                  <c:v>4.5</c:v>
                </c:pt>
                <c:pt idx="21">
                  <c:v>6</c:v>
                </c:pt>
                <c:pt idx="22">
                  <c:v>5.9166666666666661</c:v>
                </c:pt>
                <c:pt idx="23">
                  <c:v>5.9166666666666661</c:v>
                </c:pt>
                <c:pt idx="24">
                  <c:v>7.1999999999999993</c:v>
                </c:pt>
                <c:pt idx="25">
                  <c:v>7.1999999999999993</c:v>
                </c:pt>
                <c:pt idx="26">
                  <c:v>6.9266666666666667</c:v>
                </c:pt>
                <c:pt idx="27">
                  <c:v>7.2</c:v>
                </c:pt>
                <c:pt idx="28">
                  <c:v>7.1</c:v>
                </c:pt>
                <c:pt idx="29">
                  <c:v>7.2</c:v>
                </c:pt>
                <c:pt idx="30">
                  <c:v>7.3</c:v>
                </c:pt>
                <c:pt idx="31">
                  <c:v>7.2</c:v>
                </c:pt>
                <c:pt idx="32">
                  <c:v>7.2</c:v>
                </c:pt>
                <c:pt idx="33">
                  <c:v>7.2</c:v>
                </c:pt>
                <c:pt idx="34">
                  <c:v>6</c:v>
                </c:pt>
                <c:pt idx="35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78344576"/>
        <c:axId val="378384384"/>
      </c:barChart>
      <c:catAx>
        <c:axId val="378344576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2040000"/>
          <a:lstStyle/>
          <a:p>
            <a:pPr>
              <a:defRPr/>
            </a:pPr>
            <a:endParaRPr lang="en-US"/>
          </a:p>
        </c:txPr>
        <c:crossAx val="378384384"/>
        <c:crosses val="autoZero"/>
        <c:auto val="1"/>
        <c:lblAlgn val="ctr"/>
        <c:lblOffset val="100"/>
        <c:tickLblSkip val="1"/>
        <c:noMultiLvlLbl val="1"/>
      </c:catAx>
      <c:valAx>
        <c:axId val="378384384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37834457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260814620394675E-2"/>
          <c:y val="0.13776914634121293"/>
          <c:w val="0.90846926089126079"/>
          <c:h val="0.620612679350358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Western States</c:v>
                </c:pt>
              </c:strCache>
            </c:strRef>
          </c:tx>
          <c:invertIfNegative val="0"/>
          <c:dLbls>
            <c:dLbl>
              <c:idx val="15"/>
              <c:layout>
                <c:manualLayout>
                  <c:x val="0"/>
                  <c:y val="-7.54422646321750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"/>
                  <c:y val="-3.01431801055011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0"/>
                  <c:y val="-2.63752825923136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0"/>
                  <c:y val="-3.39110776186887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Sheet1!$A$2:$A$37</c:f>
              <c:strCache>
                <c:ptCount val="36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  <c:pt idx="35">
                  <c:v>Q4 2017</c:v>
                </c:pt>
              </c:strCache>
            </c:strRef>
          </c:cat>
          <c:val>
            <c:numRef>
              <c:f>Sheet1!$B$2:$B$37</c:f>
              <c:numCache>
                <c:formatCode>0.0</c:formatCode>
                <c:ptCount val="36"/>
                <c:pt idx="0">
                  <c:v>6.0681818181818183</c:v>
                </c:pt>
                <c:pt idx="1">
                  <c:v>5.1428571428571423</c:v>
                </c:pt>
                <c:pt idx="2">
                  <c:v>4.8000000000000007</c:v>
                </c:pt>
                <c:pt idx="3">
                  <c:v>4.8</c:v>
                </c:pt>
                <c:pt idx="4">
                  <c:v>6</c:v>
                </c:pt>
                <c:pt idx="5">
                  <c:v>6</c:v>
                </c:pt>
                <c:pt idx="6">
                  <c:v>6</c:v>
                </c:pt>
                <c:pt idx="7">
                  <c:v>6</c:v>
                </c:pt>
                <c:pt idx="8">
                  <c:v>6.4</c:v>
                </c:pt>
                <c:pt idx="9">
                  <c:v>6</c:v>
                </c:pt>
                <c:pt idx="10">
                  <c:v>6.36</c:v>
                </c:pt>
                <c:pt idx="11">
                  <c:v>6.3333333333333339</c:v>
                </c:pt>
                <c:pt idx="12">
                  <c:v>6</c:v>
                </c:pt>
                <c:pt idx="13">
                  <c:v>7.1999999999999993</c:v>
                </c:pt>
                <c:pt idx="14">
                  <c:v>8.7857142857142847</c:v>
                </c:pt>
                <c:pt idx="15">
                  <c:v>8.7857142857142847</c:v>
                </c:pt>
                <c:pt idx="16">
                  <c:v>7.1999999999999993</c:v>
                </c:pt>
                <c:pt idx="17">
                  <c:v>7.5</c:v>
                </c:pt>
                <c:pt idx="18">
                  <c:v>7.1999999999999993</c:v>
                </c:pt>
                <c:pt idx="19">
                  <c:v>7.2857142857142856</c:v>
                </c:pt>
                <c:pt idx="20">
                  <c:v>7.1999999999999993</c:v>
                </c:pt>
                <c:pt idx="21">
                  <c:v>7.1999999999999993</c:v>
                </c:pt>
                <c:pt idx="22">
                  <c:v>7.5</c:v>
                </c:pt>
                <c:pt idx="23">
                  <c:v>6</c:v>
                </c:pt>
                <c:pt idx="24">
                  <c:v>4.5</c:v>
                </c:pt>
                <c:pt idx="25">
                  <c:v>6.6</c:v>
                </c:pt>
                <c:pt idx="26">
                  <c:v>6</c:v>
                </c:pt>
                <c:pt idx="27">
                  <c:v>6</c:v>
                </c:pt>
                <c:pt idx="28">
                  <c:v>4.5</c:v>
                </c:pt>
                <c:pt idx="29">
                  <c:v>4.5</c:v>
                </c:pt>
                <c:pt idx="30">
                  <c:v>6</c:v>
                </c:pt>
                <c:pt idx="31">
                  <c:v>5.4539999999999997</c:v>
                </c:pt>
                <c:pt idx="32">
                  <c:v>6</c:v>
                </c:pt>
                <c:pt idx="33">
                  <c:v>6</c:v>
                </c:pt>
                <c:pt idx="34">
                  <c:v>6</c:v>
                </c:pt>
                <c:pt idx="35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4604416"/>
        <c:axId val="376051584"/>
      </c:barChart>
      <c:catAx>
        <c:axId val="364604416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1980000"/>
          <a:lstStyle/>
          <a:p>
            <a:pPr>
              <a:defRPr/>
            </a:pPr>
            <a:endParaRPr lang="en-US"/>
          </a:p>
        </c:txPr>
        <c:crossAx val="376051584"/>
        <c:crosses val="autoZero"/>
        <c:auto val="1"/>
        <c:lblAlgn val="ctr"/>
        <c:lblOffset val="100"/>
        <c:tickLblSkip val="1"/>
        <c:noMultiLvlLbl val="1"/>
      </c:catAx>
      <c:valAx>
        <c:axId val="376051584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36460441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en-US" sz="1050"/>
              <a:t>Commercial &amp; Institutional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1.6801394002122445E-2"/>
          <c:y val="0.18832928411830019"/>
          <c:w val="0.96911452502003681"/>
          <c:h val="0.436904551707552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Commercial Institutional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Sheet1!$A$2:$A$37</c:f>
              <c:strCache>
                <c:ptCount val="36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  <c:pt idx="35">
                  <c:v>Q4 2017</c:v>
                </c:pt>
              </c:strCache>
            </c:strRef>
          </c:cat>
          <c:val>
            <c:numRef>
              <c:f>Sheet1!$B$2:$B$37</c:f>
              <c:numCache>
                <c:formatCode>0.0</c:formatCode>
                <c:ptCount val="36"/>
                <c:pt idx="0">
                  <c:v>6</c:v>
                </c:pt>
                <c:pt idx="1">
                  <c:v>5.7</c:v>
                </c:pt>
                <c:pt idx="2">
                  <c:v>4.2857142857142856</c:v>
                </c:pt>
                <c:pt idx="3">
                  <c:v>4.8000000000000007</c:v>
                </c:pt>
                <c:pt idx="4">
                  <c:v>5.884615384615385</c:v>
                </c:pt>
                <c:pt idx="5" formatCode="General">
                  <c:v>6</c:v>
                </c:pt>
                <c:pt idx="6">
                  <c:v>6</c:v>
                </c:pt>
                <c:pt idx="7">
                  <c:v>6</c:v>
                </c:pt>
                <c:pt idx="8">
                  <c:v>6.4</c:v>
                </c:pt>
                <c:pt idx="9">
                  <c:v>7.1999999999999993</c:v>
                </c:pt>
                <c:pt idx="10">
                  <c:v>8.5714285714285712</c:v>
                </c:pt>
                <c:pt idx="11">
                  <c:v>6.0869565217391308</c:v>
                </c:pt>
                <c:pt idx="12">
                  <c:v>6</c:v>
                </c:pt>
                <c:pt idx="13" formatCode="General">
                  <c:v>6.6000000000000005</c:v>
                </c:pt>
                <c:pt idx="14" formatCode="General">
                  <c:v>7.1999999999999993</c:v>
                </c:pt>
                <c:pt idx="15" formatCode="General">
                  <c:v>7.1999999999999993</c:v>
                </c:pt>
                <c:pt idx="16" formatCode="General">
                  <c:v>7.1999999999999993</c:v>
                </c:pt>
                <c:pt idx="17" formatCode="General">
                  <c:v>7.1999999999999993</c:v>
                </c:pt>
                <c:pt idx="18" formatCode="General">
                  <c:v>7.1999999999999993</c:v>
                </c:pt>
                <c:pt idx="19" formatCode="General">
                  <c:v>7.1999999999999993</c:v>
                </c:pt>
                <c:pt idx="20" formatCode="General">
                  <c:v>7.1999999999999993</c:v>
                </c:pt>
                <c:pt idx="21" formatCode="General">
                  <c:v>7.1999999999999993</c:v>
                </c:pt>
                <c:pt idx="22" formatCode="General">
                  <c:v>7.1999999999999993</c:v>
                </c:pt>
                <c:pt idx="23">
                  <c:v>6.0857142857142854</c:v>
                </c:pt>
                <c:pt idx="24" formatCode="General">
                  <c:v>7.5</c:v>
                </c:pt>
                <c:pt idx="25" formatCode="General">
                  <c:v>7.1999999999999993</c:v>
                </c:pt>
                <c:pt idx="26" formatCode="General">
                  <c:v>7.1999999999999993</c:v>
                </c:pt>
                <c:pt idx="27" formatCode="General">
                  <c:v>7.33</c:v>
                </c:pt>
                <c:pt idx="28" formatCode="General">
                  <c:v>6.4</c:v>
                </c:pt>
                <c:pt idx="29" formatCode="General">
                  <c:v>6</c:v>
                </c:pt>
                <c:pt idx="30" formatCode="General">
                  <c:v>7.2</c:v>
                </c:pt>
                <c:pt idx="31" formatCode="General">
                  <c:v>6.66</c:v>
                </c:pt>
                <c:pt idx="32" formatCode="General">
                  <c:v>7</c:v>
                </c:pt>
                <c:pt idx="33" formatCode="General">
                  <c:v>7.2</c:v>
                </c:pt>
                <c:pt idx="34" formatCode="General">
                  <c:v>7.8</c:v>
                </c:pt>
                <c:pt idx="35" formatCode="General">
                  <c:v>8.57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79004032"/>
        <c:axId val="379027456"/>
      </c:barChart>
      <c:catAx>
        <c:axId val="379004032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2400000" vert="horz"/>
          <a:lstStyle/>
          <a:p>
            <a:pPr>
              <a:defRPr/>
            </a:pPr>
            <a:endParaRPr lang="en-US"/>
          </a:p>
        </c:txPr>
        <c:crossAx val="379027456"/>
        <c:crosses val="autoZero"/>
        <c:auto val="1"/>
        <c:lblAlgn val="ctr"/>
        <c:lblOffset val="100"/>
        <c:tickLblSkip val="1"/>
        <c:noMultiLvlLbl val="1"/>
      </c:catAx>
      <c:valAx>
        <c:axId val="379027456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37900403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1.0316406609440932E-2"/>
          <c:y val="0.18769194742850454"/>
          <c:w val="0.97638338311159378"/>
          <c:h val="0.449882459348092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Heavy Industrial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Sheet1!$A$2:$A$37</c:f>
              <c:strCache>
                <c:ptCount val="36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  <c:pt idx="35">
                  <c:v>Q4 2017</c:v>
                </c:pt>
              </c:strCache>
            </c:strRef>
          </c:cat>
          <c:val>
            <c:numRef>
              <c:f>Sheet1!$B$2:$B$37</c:f>
              <c:numCache>
                <c:formatCode>0.0</c:formatCode>
                <c:ptCount val="36"/>
                <c:pt idx="0">
                  <c:v>5.0999999999999996</c:v>
                </c:pt>
                <c:pt idx="1">
                  <c:v>4</c:v>
                </c:pt>
                <c:pt idx="2">
                  <c:v>5.0847457627118642</c:v>
                </c:pt>
                <c:pt idx="3">
                  <c:v>6.6</c:v>
                </c:pt>
                <c:pt idx="4">
                  <c:v>5.45</c:v>
                </c:pt>
                <c:pt idx="5">
                  <c:v>4.28</c:v>
                </c:pt>
                <c:pt idx="6">
                  <c:v>4.375</c:v>
                </c:pt>
                <c:pt idx="7">
                  <c:v>6</c:v>
                </c:pt>
                <c:pt idx="8">
                  <c:v>6.4</c:v>
                </c:pt>
                <c:pt idx="9">
                  <c:v>4.5</c:v>
                </c:pt>
                <c:pt idx="10">
                  <c:v>5.4560439560439562</c:v>
                </c:pt>
                <c:pt idx="11">
                  <c:v>5.1428571428571423</c:v>
                </c:pt>
                <c:pt idx="12">
                  <c:v>3.6585365853658534</c:v>
                </c:pt>
                <c:pt idx="13">
                  <c:v>5.3571428571428577</c:v>
                </c:pt>
                <c:pt idx="14">
                  <c:v>5.9166666666666661</c:v>
                </c:pt>
                <c:pt idx="15">
                  <c:v>5.884615384615385</c:v>
                </c:pt>
                <c:pt idx="16">
                  <c:v>4.4558823529411766</c:v>
                </c:pt>
                <c:pt idx="17">
                  <c:v>6</c:v>
                </c:pt>
                <c:pt idx="18">
                  <c:v>3.5999999999999996</c:v>
                </c:pt>
                <c:pt idx="19">
                  <c:v>3.5999999999999996</c:v>
                </c:pt>
                <c:pt idx="20">
                  <c:v>3.25</c:v>
                </c:pt>
                <c:pt idx="21">
                  <c:v>4.05</c:v>
                </c:pt>
                <c:pt idx="22">
                  <c:v>5.5833333333333339</c:v>
                </c:pt>
                <c:pt idx="23">
                  <c:v>6</c:v>
                </c:pt>
                <c:pt idx="24">
                  <c:v>6</c:v>
                </c:pt>
                <c:pt idx="25">
                  <c:v>6.36</c:v>
                </c:pt>
                <c:pt idx="26">
                  <c:v>6</c:v>
                </c:pt>
                <c:pt idx="27">
                  <c:v>9.36</c:v>
                </c:pt>
                <c:pt idx="28">
                  <c:v>5.2</c:v>
                </c:pt>
                <c:pt idx="29">
                  <c:v>6.3330000000000002</c:v>
                </c:pt>
                <c:pt idx="30">
                  <c:v>6</c:v>
                </c:pt>
                <c:pt idx="31">
                  <c:v>3.63</c:v>
                </c:pt>
                <c:pt idx="32">
                  <c:v>4.0999999999999996</c:v>
                </c:pt>
                <c:pt idx="33">
                  <c:v>4.5</c:v>
                </c:pt>
                <c:pt idx="34">
                  <c:v>4.5</c:v>
                </c:pt>
                <c:pt idx="35">
                  <c:v>4.8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76103680"/>
        <c:axId val="376105216"/>
      </c:barChart>
      <c:catAx>
        <c:axId val="376103680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2400000" vert="horz"/>
          <a:lstStyle/>
          <a:p>
            <a:pPr>
              <a:defRPr/>
            </a:pPr>
            <a:endParaRPr lang="en-US"/>
          </a:p>
        </c:txPr>
        <c:crossAx val="376105216"/>
        <c:crosses val="autoZero"/>
        <c:auto val="1"/>
        <c:lblAlgn val="ctr"/>
        <c:lblOffset val="100"/>
        <c:tickLblSkip val="1"/>
        <c:noMultiLvlLbl val="1"/>
      </c:catAx>
      <c:valAx>
        <c:axId val="376105216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37610368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en-US" sz="1050"/>
              <a:t>Infrastructure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1.379762421183162E-2"/>
          <c:y val="0.18224707041731786"/>
          <c:w val="0.97307682201571299"/>
          <c:h val="0.445820399788696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Infrastructure</c:v>
                </c:pt>
              </c:strCache>
            </c:strRef>
          </c:tx>
          <c:invertIfNegative val="0"/>
          <c:dLbls>
            <c:dLbl>
              <c:idx val="18"/>
              <c:tx>
                <c:rich>
                  <a:bodyPr/>
                  <a:lstStyle/>
                  <a:p>
                    <a:r>
                      <a:rPr lang="en-US" sz="800"/>
                      <a:t>7.2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8.4900906585341275E-4"/>
                  <c:y val="-4.9152576858125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1.1120996441281141E-2"/>
                  <c:y val="-4.91521258294426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Sheet1!$A$2:$A$37</c:f>
              <c:strCache>
                <c:ptCount val="36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  <c:pt idx="35">
                  <c:v>Q4 2017</c:v>
                </c:pt>
              </c:strCache>
            </c:strRef>
          </c:cat>
          <c:val>
            <c:numRef>
              <c:f>Sheet1!$B$2:$B$37</c:f>
              <c:numCache>
                <c:formatCode>0.0</c:formatCode>
                <c:ptCount val="36"/>
                <c:pt idx="0">
                  <c:v>5.0999999999999996</c:v>
                </c:pt>
                <c:pt idx="1">
                  <c:v>4</c:v>
                </c:pt>
                <c:pt idx="2">
                  <c:v>12</c:v>
                </c:pt>
                <c:pt idx="3">
                  <c:v>6.17</c:v>
                </c:pt>
                <c:pt idx="4">
                  <c:v>11.25</c:v>
                </c:pt>
                <c:pt idx="5">
                  <c:v>11.625</c:v>
                </c:pt>
                <c:pt idx="6">
                  <c:v>11.127272727272727</c:v>
                </c:pt>
                <c:pt idx="7">
                  <c:v>10.291666666666668</c:v>
                </c:pt>
                <c:pt idx="8">
                  <c:v>7.4857142857142858</c:v>
                </c:pt>
                <c:pt idx="9">
                  <c:v>8.5714285714285712</c:v>
                </c:pt>
                <c:pt idx="10">
                  <c:v>10.143896103896104</c:v>
                </c:pt>
                <c:pt idx="11">
                  <c:v>8.5714285714285712</c:v>
                </c:pt>
                <c:pt idx="12">
                  <c:v>7.1999999999999993</c:v>
                </c:pt>
                <c:pt idx="13">
                  <c:v>7.1999999999999993</c:v>
                </c:pt>
                <c:pt idx="14">
                  <c:v>7.1999999999999993</c:v>
                </c:pt>
                <c:pt idx="15">
                  <c:v>7.1999999999999993</c:v>
                </c:pt>
                <c:pt idx="16">
                  <c:v>8.5714285714285712</c:v>
                </c:pt>
                <c:pt idx="17">
                  <c:v>7.5</c:v>
                </c:pt>
                <c:pt idx="18">
                  <c:v>7.1999999999999993</c:v>
                </c:pt>
                <c:pt idx="19">
                  <c:v>7.1999999999999993</c:v>
                </c:pt>
                <c:pt idx="20">
                  <c:v>6.86</c:v>
                </c:pt>
                <c:pt idx="21">
                  <c:v>7.1</c:v>
                </c:pt>
                <c:pt idx="22">
                  <c:v>8.6607142857142847</c:v>
                </c:pt>
                <c:pt idx="23">
                  <c:v>8.75</c:v>
                </c:pt>
                <c:pt idx="24">
                  <c:v>8.0357142857142847</c:v>
                </c:pt>
                <c:pt idx="25">
                  <c:v>9</c:v>
                </c:pt>
                <c:pt idx="26">
                  <c:v>7.5</c:v>
                </c:pt>
                <c:pt idx="27">
                  <c:v>8.25</c:v>
                </c:pt>
                <c:pt idx="28">
                  <c:v>8.6</c:v>
                </c:pt>
                <c:pt idx="29">
                  <c:v>9</c:v>
                </c:pt>
                <c:pt idx="30">
                  <c:v>9</c:v>
                </c:pt>
                <c:pt idx="31">
                  <c:v>9</c:v>
                </c:pt>
                <c:pt idx="32">
                  <c:v>8.6</c:v>
                </c:pt>
                <c:pt idx="33">
                  <c:v>9.8000000000000007</c:v>
                </c:pt>
                <c:pt idx="34">
                  <c:v>9</c:v>
                </c:pt>
                <c:pt idx="35">
                  <c:v>7.92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79274368"/>
        <c:axId val="379277312"/>
      </c:barChart>
      <c:catAx>
        <c:axId val="379274368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2400000"/>
          <a:lstStyle/>
          <a:p>
            <a:pPr>
              <a:defRPr/>
            </a:pPr>
            <a:endParaRPr lang="en-US"/>
          </a:p>
        </c:txPr>
        <c:crossAx val="379277312"/>
        <c:crosses val="autoZero"/>
        <c:auto val="1"/>
        <c:lblAlgn val="ctr"/>
        <c:lblOffset val="100"/>
        <c:tickLblSkip val="1"/>
        <c:noMultiLvlLbl val="1"/>
      </c:catAx>
      <c:valAx>
        <c:axId val="379277312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37927436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en-US" sz="1050"/>
              <a:t>Revenue less than $30 million</a:t>
            </a:r>
          </a:p>
        </c:rich>
      </c:tx>
      <c:layout>
        <c:manualLayout>
          <c:xMode val="edge"/>
          <c:yMode val="edge"/>
          <c:x val="0.35499145804164367"/>
          <c:y val="6.029081926256539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3.9103898186360148E-2"/>
          <c:y val="0.12903303760690521"/>
          <c:w val="0.94586069828088204"/>
          <c:h val="0.591322451881003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&lt;30 million</c:v>
                </c:pt>
              </c:strCache>
            </c:strRef>
          </c:tx>
          <c:invertIfNegative val="0"/>
          <c:dLbls>
            <c:dLbl>
              <c:idx val="17"/>
              <c:numFmt formatCode="#,##0.0" sourceLinked="0"/>
              <c:spPr/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numFmt formatCode="#,##0.0" sourceLinked="0"/>
              <c:spPr/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Sheet1!$A$2:$A$37</c:f>
              <c:strCache>
                <c:ptCount val="36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  <c:pt idx="35">
                  <c:v>Q4 2017</c:v>
                </c:pt>
              </c:strCache>
            </c:strRef>
          </c:cat>
          <c:val>
            <c:numRef>
              <c:f>Sheet1!$B$2:$B$37</c:f>
              <c:numCache>
                <c:formatCode>General</c:formatCode>
                <c:ptCount val="36"/>
                <c:pt idx="0" formatCode="0.0">
                  <c:v>6</c:v>
                </c:pt>
                <c:pt idx="1">
                  <c:v>3.6</c:v>
                </c:pt>
                <c:pt idx="2" formatCode="0.0">
                  <c:v>3.75</c:v>
                </c:pt>
                <c:pt idx="3" formatCode="0.0">
                  <c:v>3.75</c:v>
                </c:pt>
                <c:pt idx="4" formatCode="0.0">
                  <c:v>3.75</c:v>
                </c:pt>
                <c:pt idx="5" formatCode="0.0">
                  <c:v>6</c:v>
                </c:pt>
                <c:pt idx="6" formatCode="0.0">
                  <c:v>6</c:v>
                </c:pt>
                <c:pt idx="7" formatCode="0.0">
                  <c:v>4.5</c:v>
                </c:pt>
                <c:pt idx="8" formatCode="0.0">
                  <c:v>6.4</c:v>
                </c:pt>
                <c:pt idx="9" formatCode="0.0">
                  <c:v>6</c:v>
                </c:pt>
                <c:pt idx="10" formatCode="0.0">
                  <c:v>6</c:v>
                </c:pt>
                <c:pt idx="11" formatCode="0.0">
                  <c:v>6</c:v>
                </c:pt>
                <c:pt idx="12" formatCode="0.0">
                  <c:v>6</c:v>
                </c:pt>
                <c:pt idx="13" formatCode="0.0">
                  <c:v>6</c:v>
                </c:pt>
                <c:pt idx="14" formatCode="0.0">
                  <c:v>6</c:v>
                </c:pt>
                <c:pt idx="15" formatCode="0.0">
                  <c:v>6</c:v>
                </c:pt>
                <c:pt idx="16" formatCode="0.0">
                  <c:v>6</c:v>
                </c:pt>
                <c:pt idx="17" formatCode="0.0">
                  <c:v>6</c:v>
                </c:pt>
                <c:pt idx="18" formatCode="0.0">
                  <c:v>6</c:v>
                </c:pt>
                <c:pt idx="19" formatCode="0.0">
                  <c:v>6</c:v>
                </c:pt>
                <c:pt idx="20" formatCode="0.0">
                  <c:v>6</c:v>
                </c:pt>
                <c:pt idx="21" formatCode="0.0">
                  <c:v>6</c:v>
                </c:pt>
                <c:pt idx="22">
                  <c:v>7.1999999999999993</c:v>
                </c:pt>
                <c:pt idx="23" formatCode="0.0">
                  <c:v>6</c:v>
                </c:pt>
                <c:pt idx="24">
                  <c:v>7.1999999999999993</c:v>
                </c:pt>
                <c:pt idx="25" formatCode="0.0">
                  <c:v>6.3333333333333339</c:v>
                </c:pt>
                <c:pt idx="26" formatCode="0.0">
                  <c:v>6</c:v>
                </c:pt>
                <c:pt idx="27">
                  <c:v>7.2</c:v>
                </c:pt>
                <c:pt idx="28">
                  <c:v>6</c:v>
                </c:pt>
                <c:pt idx="29">
                  <c:v>6</c:v>
                </c:pt>
                <c:pt idx="30">
                  <c:v>6</c:v>
                </c:pt>
                <c:pt idx="31">
                  <c:v>6</c:v>
                </c:pt>
                <c:pt idx="32">
                  <c:v>6.3</c:v>
                </c:pt>
                <c:pt idx="33">
                  <c:v>6</c:v>
                </c:pt>
                <c:pt idx="34">
                  <c:v>6</c:v>
                </c:pt>
                <c:pt idx="35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79057664"/>
        <c:axId val="379058816"/>
      </c:barChart>
      <c:catAx>
        <c:axId val="379057664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2400000"/>
          <a:lstStyle/>
          <a:p>
            <a:pPr>
              <a:defRPr/>
            </a:pPr>
            <a:endParaRPr lang="en-US"/>
          </a:p>
        </c:txPr>
        <c:crossAx val="379058816"/>
        <c:crosses val="autoZero"/>
        <c:auto val="1"/>
        <c:lblAlgn val="ctr"/>
        <c:lblOffset val="100"/>
        <c:noMultiLvlLbl val="1"/>
      </c:catAx>
      <c:valAx>
        <c:axId val="379058816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37905766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2.3255813953488372E-2"/>
          <c:y val="0.20304568527918784"/>
          <c:w val="0.95503875968992269"/>
          <c:h val="0.578680203045691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2009</c:v>
                </c:pt>
                <c:pt idx="1">
                  <c:v>Q4 2009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0.14651162790697675</c:v>
                </c:pt>
                <c:pt idx="1">
                  <c:v>0.13858695652173914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2009</c:v>
                </c:pt>
                <c:pt idx="1">
                  <c:v>Q4 2009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7.2093023255813959E-2</c:v>
                </c:pt>
                <c:pt idx="1">
                  <c:v>3.5326086956521736E-2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2009</c:v>
                </c:pt>
                <c:pt idx="1">
                  <c:v>Q4 2009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0.19534883720930232</c:v>
                </c:pt>
                <c:pt idx="1">
                  <c:v>0.27173913043478259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2009</c:v>
                </c:pt>
                <c:pt idx="1">
                  <c:v>Q4 2009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0.30232558139534882</c:v>
                </c:pt>
                <c:pt idx="1">
                  <c:v>0.29619565217391303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2009</c:v>
                </c:pt>
                <c:pt idx="1">
                  <c:v>Q4 2009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0.28372093023255812</c:v>
                </c:pt>
                <c:pt idx="1">
                  <c:v>0.25815217391304346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29930624"/>
        <c:axId val="329932160"/>
      </c:barChart>
      <c:catAx>
        <c:axId val="329930624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329932160"/>
        <c:crosses val="autoZero"/>
        <c:auto val="1"/>
        <c:lblAlgn val="ctr"/>
        <c:lblOffset val="100"/>
        <c:noMultiLvlLbl val="1"/>
      </c:catAx>
      <c:valAx>
        <c:axId val="329932160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32993062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9382693766E-2"/>
          <c:y val="2.3758743355050162E-2"/>
          <c:w val="0.81246527904942123"/>
          <c:h val="0.13727007474319519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2.692274042667744E-2"/>
          <c:y val="0.14625333250667144"/>
          <c:w val="0.93306079653290686"/>
          <c:h val="0.58045871241380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Rev 30-50</c:v>
                </c:pt>
              </c:strCache>
            </c:strRef>
          </c:tx>
          <c:spPr>
            <a:solidFill>
              <a:srgbClr val="F79646">
                <a:lumMod val="75000"/>
              </a:srgbClr>
            </a:solidFill>
          </c:spPr>
          <c:invertIfNegative val="0"/>
          <c:dLbls>
            <c:dLbl>
              <c:idx val="2"/>
              <c:layout>
                <c:manualLayout>
                  <c:x val="2.0964788308344027E-3"/>
                  <c:y val="3.527118165347553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2052946822942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1886114503071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7825311942959701E-3"/>
                  <c:y val="1.04986876640419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7825099797748386E-3"/>
                  <c:y val="-3.49956255468066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366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Sheet1!$A$2:$A$37</c:f>
              <c:strCache>
                <c:ptCount val="36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  <c:pt idx="35">
                  <c:v>Q4 2017</c:v>
                </c:pt>
              </c:strCache>
            </c:strRef>
          </c:cat>
          <c:val>
            <c:numRef>
              <c:f>Sheet1!$B$2:$B$37</c:f>
              <c:numCache>
                <c:formatCode>0.0</c:formatCode>
                <c:ptCount val="36"/>
                <c:pt idx="0">
                  <c:v>4</c:v>
                </c:pt>
                <c:pt idx="1">
                  <c:v>4.5714285714285712</c:v>
                </c:pt>
                <c:pt idx="2">
                  <c:v>4</c:v>
                </c:pt>
                <c:pt idx="3">
                  <c:v>5.14</c:v>
                </c:pt>
                <c:pt idx="4">
                  <c:v>4.5714285714285712</c:v>
                </c:pt>
                <c:pt idx="5">
                  <c:v>5.14</c:v>
                </c:pt>
                <c:pt idx="6">
                  <c:v>5.1428571428571423</c:v>
                </c:pt>
                <c:pt idx="7">
                  <c:v>4</c:v>
                </c:pt>
                <c:pt idx="8">
                  <c:v>5.14</c:v>
                </c:pt>
                <c:pt idx="9">
                  <c:v>5.1428571428571423</c:v>
                </c:pt>
                <c:pt idx="10">
                  <c:v>8.5714285714285712</c:v>
                </c:pt>
                <c:pt idx="11">
                  <c:v>6.666666666666667</c:v>
                </c:pt>
                <c:pt idx="12">
                  <c:v>8.5714285714285712</c:v>
                </c:pt>
                <c:pt idx="13">
                  <c:v>8.5714285714285712</c:v>
                </c:pt>
                <c:pt idx="14">
                  <c:v>12</c:v>
                </c:pt>
                <c:pt idx="15">
                  <c:v>8.5714285714285712</c:v>
                </c:pt>
                <c:pt idx="16">
                  <c:v>8.5714285714285712</c:v>
                </c:pt>
                <c:pt idx="17">
                  <c:v>8.9523809523809526</c:v>
                </c:pt>
                <c:pt idx="18">
                  <c:v>7.6190476190476186</c:v>
                </c:pt>
                <c:pt idx="19">
                  <c:v>6.666666666666667</c:v>
                </c:pt>
                <c:pt idx="20">
                  <c:v>5.1428571428571423</c:v>
                </c:pt>
                <c:pt idx="21">
                  <c:v>5.1428571428571423</c:v>
                </c:pt>
                <c:pt idx="22">
                  <c:v>6.1714285714285708</c:v>
                </c:pt>
                <c:pt idx="23">
                  <c:v>6.1714285714285708</c:v>
                </c:pt>
                <c:pt idx="24">
                  <c:v>6</c:v>
                </c:pt>
                <c:pt idx="25">
                  <c:v>7.1999999999999993</c:v>
                </c:pt>
                <c:pt idx="26">
                  <c:v>7.8857142857142852</c:v>
                </c:pt>
                <c:pt idx="27" formatCode="0.00">
                  <c:v>8.57</c:v>
                </c:pt>
                <c:pt idx="28" formatCode="0.00">
                  <c:v>6</c:v>
                </c:pt>
                <c:pt idx="29" formatCode="0.00">
                  <c:v>6.6666999999999996</c:v>
                </c:pt>
                <c:pt idx="30" formatCode="_(* #,##0.00_);_(* \(#,##0.00\);_(* &quot;-&quot;??_);_(@_)">
                  <c:v>6.72</c:v>
                </c:pt>
                <c:pt idx="31" formatCode="_(* #,##0.00_);_(* \(#,##0.00\);_(* &quot;-&quot;??_);_(@_)">
                  <c:v>6.66</c:v>
                </c:pt>
                <c:pt idx="32" formatCode="_(* #,##0.00_);_(* \(#,##0.00\);_(* &quot;-&quot;??_);_(@_)">
                  <c:v>7.2</c:v>
                </c:pt>
                <c:pt idx="33" formatCode="_(* #,##0.00_);_(* \(#,##0.00\);_(* &quot;-&quot;??_);_(@_)">
                  <c:v>8.6</c:v>
                </c:pt>
                <c:pt idx="34" formatCode="_(* #,##0.00_);_(* \(#,##0.00\);_(* &quot;-&quot;??_);_(@_)">
                  <c:v>9.9499999999999993</c:v>
                </c:pt>
                <c:pt idx="35" formatCode="_(* #,##0.00_);_(* \(#,##0.00\);_(* &quot;-&quot;??_);_(@_)">
                  <c:v>6.67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79365248"/>
        <c:axId val="379384576"/>
      </c:barChart>
      <c:catAx>
        <c:axId val="379365248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txPr>
          <a:bodyPr rot="-2400000"/>
          <a:lstStyle/>
          <a:p>
            <a:pPr>
              <a:defRPr/>
            </a:pPr>
            <a:endParaRPr lang="en-US"/>
          </a:p>
        </c:txPr>
        <c:crossAx val="379384576"/>
        <c:crosses val="autoZero"/>
        <c:auto val="1"/>
        <c:lblAlgn val="ctr"/>
        <c:lblOffset val="100"/>
        <c:noMultiLvlLbl val="1"/>
      </c:catAx>
      <c:valAx>
        <c:axId val="379384576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37936524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en-US" sz="1050"/>
              <a:t>Revenue $50-100 million</a:t>
            </a:r>
          </a:p>
        </c:rich>
      </c:tx>
      <c:layout>
        <c:manualLayout>
          <c:xMode val="edge"/>
          <c:yMode val="edge"/>
          <c:x val="0.37038053468072557"/>
          <c:y val="5.3612391715284313E-2"/>
        </c:manualLayout>
      </c:layout>
      <c:overlay val="0"/>
      <c:spPr>
        <a:noFill/>
        <a:ln w="2538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3.1153927302495547E-2"/>
          <c:y val="0.22371759349764361"/>
          <c:w val="0.95319830198074118"/>
          <c:h val="0.516838335822935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Rev 50-100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2.0964788308344027E-3"/>
                  <c:y val="3.527118165347553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205294682294233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1886114503071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7825311942959701E-3"/>
                  <c:y val="1.04986876640419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7825099797748386E-3"/>
                  <c:y val="-3.49956255468066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383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Sheet1!$A$2:$A$37</c:f>
              <c:strCache>
                <c:ptCount val="36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  <c:pt idx="35">
                  <c:v>Q4 2017</c:v>
                </c:pt>
              </c:strCache>
            </c:strRef>
          </c:cat>
          <c:val>
            <c:numRef>
              <c:f>Sheet1!$B$2:$B$37</c:f>
              <c:numCache>
                <c:formatCode>0.00</c:formatCode>
                <c:ptCount val="36"/>
                <c:pt idx="0">
                  <c:v>6.1714285714285708</c:v>
                </c:pt>
                <c:pt idx="1">
                  <c:v>4.8000000000000007</c:v>
                </c:pt>
                <c:pt idx="2">
                  <c:v>6.4457142857142857</c:v>
                </c:pt>
                <c:pt idx="3">
                  <c:v>4.8000000000000007</c:v>
                </c:pt>
                <c:pt idx="4">
                  <c:v>6.1714285714285708</c:v>
                </c:pt>
                <c:pt idx="5">
                  <c:v>8.5714285714285712</c:v>
                </c:pt>
                <c:pt idx="6">
                  <c:v>8.5714285714285712</c:v>
                </c:pt>
                <c:pt idx="7">
                  <c:v>6.7200000000000006</c:v>
                </c:pt>
                <c:pt idx="8">
                  <c:v>8.64</c:v>
                </c:pt>
                <c:pt idx="9">
                  <c:v>8.605714285714285</c:v>
                </c:pt>
                <c:pt idx="10">
                  <c:v>10.32</c:v>
                </c:pt>
                <c:pt idx="11">
                  <c:v>8.64</c:v>
                </c:pt>
                <c:pt idx="12">
                  <c:v>6.7200000000000006</c:v>
                </c:pt>
                <c:pt idx="13">
                  <c:v>6.7200000000000006</c:v>
                </c:pt>
                <c:pt idx="14">
                  <c:v>8.64</c:v>
                </c:pt>
                <c:pt idx="15">
                  <c:v>8.5714285714285712</c:v>
                </c:pt>
                <c:pt idx="16">
                  <c:v>8.64</c:v>
                </c:pt>
                <c:pt idx="17">
                  <c:v>10.32</c:v>
                </c:pt>
                <c:pt idx="18">
                  <c:v>10.32</c:v>
                </c:pt>
                <c:pt idx="19">
                  <c:v>8.64</c:v>
                </c:pt>
                <c:pt idx="20">
                  <c:v>8.5714285714285712</c:v>
                </c:pt>
                <c:pt idx="21">
                  <c:v>8.64</c:v>
                </c:pt>
                <c:pt idx="22">
                  <c:v>10.285714285714285</c:v>
                </c:pt>
                <c:pt idx="23">
                  <c:v>12</c:v>
                </c:pt>
                <c:pt idx="24">
                  <c:v>12</c:v>
                </c:pt>
                <c:pt idx="25">
                  <c:v>10</c:v>
                </c:pt>
                <c:pt idx="26">
                  <c:v>10.32</c:v>
                </c:pt>
                <c:pt idx="27">
                  <c:v>12</c:v>
                </c:pt>
                <c:pt idx="28">
                  <c:v>6.72</c:v>
                </c:pt>
                <c:pt idx="29">
                  <c:v>8.5709999999999997</c:v>
                </c:pt>
                <c:pt idx="30" formatCode="_(* #,##0.00_);_(* \(#,##0.00\);_(* &quot;-&quot;??_);_(@_)">
                  <c:v>8.75</c:v>
                </c:pt>
                <c:pt idx="31" formatCode="_(* #,##0.00_);_(* \(#,##0.00\);_(* &quot;-&quot;??_);_(@_)">
                  <c:v>7.81</c:v>
                </c:pt>
                <c:pt idx="32" formatCode="_(* #,##0.00_);_(* \(#,##0.00\);_(* &quot;-&quot;??_);_(@_)">
                  <c:v>7.95</c:v>
                </c:pt>
                <c:pt idx="33" formatCode="_(* #,##0.00_);_(* \(#,##0.00\);_(* &quot;-&quot;??_);_(@_)">
                  <c:v>8.1999999999999993</c:v>
                </c:pt>
                <c:pt idx="34" formatCode="_(* #,##0.00_);_(* \(#,##0.00\);_(* &quot;-&quot;??_);_(@_)">
                  <c:v>9.5</c:v>
                </c:pt>
                <c:pt idx="35" formatCode="_(* #,##0.00_);_(* \(#,##0.00\);_(* &quot;-&quot;??_);_(@_)">
                  <c:v>10.119999999999999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79310080"/>
        <c:axId val="379312768"/>
      </c:barChart>
      <c:catAx>
        <c:axId val="379310080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txPr>
          <a:bodyPr rot="-2400000"/>
          <a:lstStyle/>
          <a:p>
            <a:pPr>
              <a:defRPr/>
            </a:pPr>
            <a:endParaRPr lang="en-US"/>
          </a:p>
        </c:txPr>
        <c:crossAx val="379312768"/>
        <c:crosses val="autoZero"/>
        <c:auto val="1"/>
        <c:lblAlgn val="ctr"/>
        <c:lblOffset val="100"/>
        <c:noMultiLvlLbl val="1"/>
      </c:catAx>
      <c:valAx>
        <c:axId val="379312768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one"/>
        <c:crossAx val="37931008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146241335217709E-2"/>
          <c:y val="0.18596821089010482"/>
          <c:w val="0.95968621710747692"/>
          <c:h val="0.529906794625891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REV &gt; 100M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6.228617974477341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688808129753048E-3"/>
                  <c:y val="-2.77793824416287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2.499472048752569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2.452233343240388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4168269452148461E-7"/>
                  <c:y val="7.662835249042145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7.088149069085683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068376068376068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3.831417624521075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"/>
                  <c:y val="3.831115938093945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"/>
                  <c:y val="3.831115938093945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"/>
                  <c:y val="1.149425287356321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7.8346673280124186E-17"/>
                  <c:y val="-1.77210703526493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Sheet1!$A$2:$A$37</c:f>
              <c:strCache>
                <c:ptCount val="36"/>
                <c:pt idx="0">
                  <c:v>Q1 2009</c:v>
                </c:pt>
                <c:pt idx="1">
                  <c:v>Q2 2009</c:v>
                </c:pt>
                <c:pt idx="2">
                  <c:v>Q3 2009</c:v>
                </c:pt>
                <c:pt idx="3">
                  <c:v>Q4 2009</c:v>
                </c:pt>
                <c:pt idx="4">
                  <c:v>Q1 2010</c:v>
                </c:pt>
                <c:pt idx="5">
                  <c:v>Q2 2010</c:v>
                </c:pt>
                <c:pt idx="6">
                  <c:v>Q3 2010</c:v>
                </c:pt>
                <c:pt idx="7">
                  <c:v>Q4 2010</c:v>
                </c:pt>
                <c:pt idx="8">
                  <c:v>Q1 2011</c:v>
                </c:pt>
                <c:pt idx="9">
                  <c:v>Q2 2011</c:v>
                </c:pt>
                <c:pt idx="10">
                  <c:v>Q3 2011</c:v>
                </c:pt>
                <c:pt idx="11">
                  <c:v>Q4 2011</c:v>
                </c:pt>
                <c:pt idx="12">
                  <c:v>Q1 2012</c:v>
                </c:pt>
                <c:pt idx="13">
                  <c:v>Q2 2012</c:v>
                </c:pt>
                <c:pt idx="14">
                  <c:v>Q3 2012</c:v>
                </c:pt>
                <c:pt idx="15">
                  <c:v>Q4 2012</c:v>
                </c:pt>
                <c:pt idx="16">
                  <c:v>Q1 2013</c:v>
                </c:pt>
                <c:pt idx="17">
                  <c:v>Q2 2013</c:v>
                </c:pt>
                <c:pt idx="18">
                  <c:v>Q3 2013</c:v>
                </c:pt>
                <c:pt idx="19">
                  <c:v>Q4 2013</c:v>
                </c:pt>
                <c:pt idx="20">
                  <c:v>Q1 2014</c:v>
                </c:pt>
                <c:pt idx="21">
                  <c:v>Q2 2014</c:v>
                </c:pt>
                <c:pt idx="22">
                  <c:v>Q3 2014</c:v>
                </c:pt>
                <c:pt idx="23">
                  <c:v>Q4 2014</c:v>
                </c:pt>
                <c:pt idx="24">
                  <c:v>Q1 2015</c:v>
                </c:pt>
                <c:pt idx="25">
                  <c:v>Q2 2015</c:v>
                </c:pt>
                <c:pt idx="26">
                  <c:v>Q3 2015</c:v>
                </c:pt>
                <c:pt idx="27">
                  <c:v>Q4 2015</c:v>
                </c:pt>
                <c:pt idx="28">
                  <c:v>Q1 2016</c:v>
                </c:pt>
                <c:pt idx="29">
                  <c:v>Q2 2016</c:v>
                </c:pt>
                <c:pt idx="30">
                  <c:v>Q3 2016</c:v>
                </c:pt>
                <c:pt idx="31">
                  <c:v>Q4 2016</c:v>
                </c:pt>
                <c:pt idx="32">
                  <c:v>Q1 2017</c:v>
                </c:pt>
                <c:pt idx="33">
                  <c:v>Q2 2017</c:v>
                </c:pt>
                <c:pt idx="34">
                  <c:v>Q3 2017</c:v>
                </c:pt>
                <c:pt idx="35">
                  <c:v>Q4 2017</c:v>
                </c:pt>
              </c:strCache>
            </c:strRef>
          </c:cat>
          <c:val>
            <c:numRef>
              <c:f>Sheet1!$B$2:$B$37</c:f>
              <c:numCache>
                <c:formatCode>0.0</c:formatCode>
                <c:ptCount val="36"/>
                <c:pt idx="0">
                  <c:v>12</c:v>
                </c:pt>
                <c:pt idx="1">
                  <c:v>10.5</c:v>
                </c:pt>
                <c:pt idx="2">
                  <c:v>5.9728506787330318</c:v>
                </c:pt>
                <c:pt idx="3">
                  <c:v>7.166666666666667</c:v>
                </c:pt>
                <c:pt idx="4">
                  <c:v>7.17</c:v>
                </c:pt>
                <c:pt idx="5">
                  <c:v>9.6</c:v>
                </c:pt>
                <c:pt idx="6">
                  <c:v>7.8904109589041092</c:v>
                </c:pt>
                <c:pt idx="7">
                  <c:v>8.3999999999999986</c:v>
                </c:pt>
                <c:pt idx="8">
                  <c:v>9.09</c:v>
                </c:pt>
                <c:pt idx="9">
                  <c:v>10.026699029126213</c:v>
                </c:pt>
                <c:pt idx="10">
                  <c:v>9.257142857142858</c:v>
                </c:pt>
                <c:pt idx="11">
                  <c:v>7.5181818181818185</c:v>
                </c:pt>
                <c:pt idx="12">
                  <c:v>8.2062200956937801</c:v>
                </c:pt>
                <c:pt idx="13">
                  <c:v>10.153846153846153</c:v>
                </c:pt>
                <c:pt idx="14">
                  <c:v>9.8636363636363633</c:v>
                </c:pt>
                <c:pt idx="15">
                  <c:v>9.9985337243401755</c:v>
                </c:pt>
                <c:pt idx="16">
                  <c:v>11.359307359307358</c:v>
                </c:pt>
                <c:pt idx="17">
                  <c:v>10.431506849315069</c:v>
                </c:pt>
                <c:pt idx="18">
                  <c:v>11.657142857142857</c:v>
                </c:pt>
                <c:pt idx="19">
                  <c:v>10.75</c:v>
                </c:pt>
                <c:pt idx="20">
                  <c:v>10.755130434782609</c:v>
                </c:pt>
                <c:pt idx="21">
                  <c:v>11.647058823529411</c:v>
                </c:pt>
                <c:pt idx="22">
                  <c:v>10.571310969335254</c:v>
                </c:pt>
                <c:pt idx="23">
                  <c:v>8.3522727272727266</c:v>
                </c:pt>
                <c:pt idx="24">
                  <c:v>7.620967741935484</c:v>
                </c:pt>
                <c:pt idx="25">
                  <c:v>9.795918367346939</c:v>
                </c:pt>
                <c:pt idx="26">
                  <c:v>8.5714285714285712</c:v>
                </c:pt>
                <c:pt idx="27" formatCode="General">
                  <c:v>10.69</c:v>
                </c:pt>
                <c:pt idx="28" formatCode="General">
                  <c:v>12.1</c:v>
                </c:pt>
                <c:pt idx="29">
                  <c:v>12.666700000000001</c:v>
                </c:pt>
                <c:pt idx="30" formatCode="_(* #,##0.00_);_(* \(#,##0.00\);_(* &quot;-&quot;??_);_(@_)">
                  <c:v>14.5</c:v>
                </c:pt>
                <c:pt idx="31" formatCode="_(* #,##0.00_);_(* \(#,##0.00\);_(* &quot;-&quot;??_);_(@_)">
                  <c:v>8.07</c:v>
                </c:pt>
                <c:pt idx="32" formatCode="_(* #,##0.00_);_(* \(#,##0.00\);_(* &quot;-&quot;??_);_(@_)">
                  <c:v>11.117000000000001</c:v>
                </c:pt>
                <c:pt idx="33" formatCode="_(* #,##0.00_);_(* \(#,##0.00\);_(* &quot;-&quot;??_);_(@_)">
                  <c:v>10.7</c:v>
                </c:pt>
                <c:pt idx="34" formatCode="_(* #,##0.00_);_(* \(#,##0.00\);_(* &quot;-&quot;??_);_(@_)">
                  <c:v>11.1</c:v>
                </c:pt>
                <c:pt idx="35" formatCode="_(* #,##0.00_);_(* \(#,##0.00\);_(* &quot;-&quot;??_);_(@_)">
                  <c:v>13.85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79832192"/>
        <c:axId val="379912960"/>
      </c:barChart>
      <c:catAx>
        <c:axId val="37983219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txPr>
          <a:bodyPr rot="-2400000"/>
          <a:lstStyle/>
          <a:p>
            <a:pPr>
              <a:defRPr/>
            </a:pPr>
            <a:endParaRPr lang="en-US"/>
          </a:p>
        </c:txPr>
        <c:crossAx val="379912960"/>
        <c:crosses val="autoZero"/>
        <c:auto val="1"/>
        <c:lblAlgn val="ctr"/>
        <c:lblOffset val="100"/>
        <c:noMultiLvlLbl val="1"/>
      </c:catAx>
      <c:valAx>
        <c:axId val="37991296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37983219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2.4960998439937598E-2"/>
          <c:y val="0.20707070707070707"/>
          <c:w val="0.94108178672738607"/>
          <c:h val="0.578282828282828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2010</c:v>
                </c:pt>
                <c:pt idx="1">
                  <c:v>Q2 2010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0.17934782608695651</c:v>
                </c:pt>
                <c:pt idx="1">
                  <c:v>0.22167487684729065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2010</c:v>
                </c:pt>
                <c:pt idx="1">
                  <c:v>Q2 2010</c:v>
                </c:pt>
              </c:strCache>
            </c:strRef>
          </c:cat>
          <c:val>
            <c:numRef>
              <c:f>Sheet1!$C$2:$C$3</c:f>
              <c:numCache>
                <c:formatCode>0.00%</c:formatCode>
                <c:ptCount val="2"/>
                <c:pt idx="0">
                  <c:v>2.4456521739130436E-2</c:v>
                </c:pt>
                <c:pt idx="1">
                  <c:v>0.10344827586206896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2010</c:v>
                </c:pt>
                <c:pt idx="1">
                  <c:v>Q2 2010</c:v>
                </c:pt>
              </c:strCache>
            </c:strRef>
          </c:cat>
          <c:val>
            <c:numRef>
              <c:f>Sheet1!$D$2:$D$3</c:f>
              <c:numCache>
                <c:formatCode>0.00%</c:formatCode>
                <c:ptCount val="2"/>
                <c:pt idx="0">
                  <c:v>0.28260869565217389</c:v>
                </c:pt>
                <c:pt idx="1">
                  <c:v>0.25615763546798032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2010</c:v>
                </c:pt>
                <c:pt idx="1">
                  <c:v>Q2 2010</c:v>
                </c:pt>
              </c:strCache>
            </c:strRef>
          </c:cat>
          <c:val>
            <c:numRef>
              <c:f>Sheet1!$E$2:$E$3</c:f>
              <c:numCache>
                <c:formatCode>0.00%</c:formatCode>
                <c:ptCount val="2"/>
                <c:pt idx="0">
                  <c:v>0.22554347826086957</c:v>
                </c:pt>
                <c:pt idx="1">
                  <c:v>0.21921182266009853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2010</c:v>
                </c:pt>
                <c:pt idx="1">
                  <c:v>Q2 2010</c:v>
                </c:pt>
              </c:strCache>
            </c:strRef>
          </c:cat>
          <c:val>
            <c:numRef>
              <c:f>Sheet1!$F$2:$F$3</c:f>
              <c:numCache>
                <c:formatCode>0.00%</c:formatCode>
                <c:ptCount val="2"/>
                <c:pt idx="0">
                  <c:v>0.28804347826086957</c:v>
                </c:pt>
                <c:pt idx="1">
                  <c:v>0.19950738916256158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26619904"/>
        <c:axId val="326621440"/>
      </c:barChart>
      <c:catAx>
        <c:axId val="326619904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326621440"/>
        <c:crosses val="autoZero"/>
        <c:auto val="1"/>
        <c:lblAlgn val="ctr"/>
        <c:lblOffset val="100"/>
        <c:noMultiLvlLbl val="1"/>
      </c:catAx>
      <c:valAx>
        <c:axId val="326621440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one"/>
        <c:crossAx val="32661990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543081881868E-2"/>
          <c:y val="2.375884832577747E-2"/>
          <c:w val="0.81246543090070067"/>
          <c:h val="0.13727007608897368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1.5649452269170621E-2"/>
          <c:y val="0.1834170854271398"/>
          <c:w val="0.96284456769236637"/>
          <c:h val="0.618090452261316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2010</c:v>
                </c:pt>
                <c:pt idx="1">
                  <c:v>Q4 2010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0.19230769230769232</c:v>
                </c:pt>
                <c:pt idx="1">
                  <c:v>0.2236024844720497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2010</c:v>
                </c:pt>
                <c:pt idx="1">
                  <c:v>Q4 2010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0.10180995475113122</c:v>
                </c:pt>
                <c:pt idx="1">
                  <c:v>7.6604554865424432E-2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2010</c:v>
                </c:pt>
                <c:pt idx="1">
                  <c:v>Q4 2010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0.29185520361990952</c:v>
                </c:pt>
                <c:pt idx="1">
                  <c:v>0.27122153209109728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2010</c:v>
                </c:pt>
                <c:pt idx="1">
                  <c:v>Q4 2010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0.2330316742081448</c:v>
                </c:pt>
                <c:pt idx="1">
                  <c:v>0.23809523809523808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2010</c:v>
                </c:pt>
                <c:pt idx="1">
                  <c:v>Q4 2010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0.18099547511312217</c:v>
                </c:pt>
                <c:pt idx="1">
                  <c:v>0.19047619047619047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37829248"/>
        <c:axId val="337908864"/>
      </c:barChart>
      <c:catAx>
        <c:axId val="337829248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337908864"/>
        <c:crosses val="autoZero"/>
        <c:auto val="1"/>
        <c:lblAlgn val="ctr"/>
        <c:lblOffset val="100"/>
        <c:noMultiLvlLbl val="1"/>
      </c:catAx>
      <c:valAx>
        <c:axId val="337908864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33782924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48684172766E-2"/>
          <c:y val="2.3758952241522573E-2"/>
          <c:w val="0.81246534324054553"/>
          <c:h val="0.1372700774212269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2975771755418835"/>
          <c:h val="0.568062827225130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2011</c:v>
                </c:pt>
                <c:pt idx="1">
                  <c:v>Q2 2011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0.24222222222222223</c:v>
                </c:pt>
                <c:pt idx="1">
                  <c:v>0.26315789473684209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2011</c:v>
                </c:pt>
                <c:pt idx="1">
                  <c:v>Q2 2011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8.2222222222222224E-2</c:v>
                </c:pt>
                <c:pt idx="1">
                  <c:v>0.11052631578947368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2011</c:v>
                </c:pt>
                <c:pt idx="1">
                  <c:v>Q2 2011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0.28222222222222221</c:v>
                </c:pt>
                <c:pt idx="1">
                  <c:v>0.26842105263157895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2011</c:v>
                </c:pt>
                <c:pt idx="1">
                  <c:v>Q2 2011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0.22</c:v>
                </c:pt>
                <c:pt idx="1">
                  <c:v>0.21052631578947367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2011</c:v>
                </c:pt>
                <c:pt idx="1">
                  <c:v>Q2 2011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0.17333333333333334</c:v>
                </c:pt>
                <c:pt idx="1">
                  <c:v>0.14736842105263157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30131712"/>
        <c:axId val="330178560"/>
      </c:barChart>
      <c:catAx>
        <c:axId val="330131712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330178560"/>
        <c:crosses val="autoZero"/>
        <c:auto val="1"/>
        <c:lblAlgn val="ctr"/>
        <c:lblOffset val="100"/>
        <c:noMultiLvlLbl val="1"/>
      </c:catAx>
      <c:valAx>
        <c:axId val="330178560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33013171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1644138572880562"/>
          <c:h val="0.568062827225130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2011</c:v>
                </c:pt>
                <c:pt idx="1">
                  <c:v>Q4 2011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0.29629629629629628</c:v>
                </c:pt>
                <c:pt idx="1">
                  <c:v>0.26370757180156656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2011</c:v>
                </c:pt>
                <c:pt idx="1">
                  <c:v>Q4 2011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0.1111111111111111</c:v>
                </c:pt>
                <c:pt idx="1">
                  <c:v>8.6161879895561358E-2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2011</c:v>
                </c:pt>
                <c:pt idx="1">
                  <c:v>Q4 2011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0.21937321937321938</c:v>
                </c:pt>
                <c:pt idx="1">
                  <c:v>0.24804177545691905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2011</c:v>
                </c:pt>
                <c:pt idx="1">
                  <c:v>Q4 2011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0.23646723646723647</c:v>
                </c:pt>
                <c:pt idx="1">
                  <c:v>0.21671018276762402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Q3 2011</c:v>
                </c:pt>
                <c:pt idx="1">
                  <c:v>Q4 2011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0.13675213675213677</c:v>
                </c:pt>
                <c:pt idx="1">
                  <c:v>0.18537859007832899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50676096"/>
        <c:axId val="350677632"/>
      </c:barChart>
      <c:catAx>
        <c:axId val="350676096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350677632"/>
        <c:crosses val="autoZero"/>
        <c:auto val="1"/>
        <c:lblAlgn val="ctr"/>
        <c:lblOffset val="100"/>
        <c:noMultiLvlLbl val="1"/>
      </c:catAx>
      <c:valAx>
        <c:axId val="350677632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35067609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254363786315406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2012</c:v>
                </c:pt>
                <c:pt idx="1">
                  <c:v>Q2 2012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0.10638297872340426</c:v>
                </c:pt>
                <c:pt idx="1">
                  <c:v>0.23280423280423279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2012</c:v>
                </c:pt>
                <c:pt idx="1">
                  <c:v>Q2 2012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0.25664893617021278</c:v>
                </c:pt>
                <c:pt idx="1">
                  <c:v>0.15343915343915343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2012</c:v>
                </c:pt>
                <c:pt idx="1">
                  <c:v>Q2 2012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0.18085106382978725</c:v>
                </c:pt>
                <c:pt idx="1">
                  <c:v>0.17989417989417988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2012</c:v>
                </c:pt>
                <c:pt idx="1">
                  <c:v>Q2 2012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0.20611702127659576</c:v>
                </c:pt>
                <c:pt idx="1">
                  <c:v>0.23809523809523808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Q1 2012</c:v>
                </c:pt>
                <c:pt idx="1">
                  <c:v>Q2 2012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0.25</c:v>
                </c:pt>
                <c:pt idx="1">
                  <c:v>0.19576719576719576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50588928"/>
        <c:axId val="350590464"/>
      </c:barChart>
      <c:catAx>
        <c:axId val="350588928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350590464"/>
        <c:crosses val="autoZero"/>
        <c:auto val="1"/>
        <c:lblAlgn val="ctr"/>
        <c:lblOffset val="100"/>
        <c:noMultiLvlLbl val="1"/>
      </c:catAx>
      <c:valAx>
        <c:axId val="350590464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35058892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4.1728926274076303E-2"/>
          <c:y val="0.23036649214659907"/>
          <c:w val="0.92953644162076576"/>
          <c:h val="0.531739004322572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Greater than 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2012</c:v>
                </c:pt>
                <c:pt idx="1">
                  <c:v>Q3 2012</c:v>
                </c:pt>
              </c:strCache>
            </c:strRef>
          </c:cat>
          <c:val>
            <c:numRef>
              <c:f>Sheet1!$B$2:$B$3</c:f>
              <c:numCache>
                <c:formatCode>0.0%</c:formatCode>
                <c:ptCount val="2"/>
                <c:pt idx="0">
                  <c:v>0.23280423280423279</c:v>
                </c:pt>
                <c:pt idx="1">
                  <c:v>0.21862348178137653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9 -12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2012</c:v>
                </c:pt>
                <c:pt idx="1">
                  <c:v>Q3 2012</c:v>
                </c:pt>
              </c:strCache>
            </c:strRef>
          </c:cat>
          <c:val>
            <c:numRef>
              <c:f>Sheet1!$C$2:$C$3</c:f>
              <c:numCache>
                <c:formatCode>0.0%</c:formatCode>
                <c:ptCount val="2"/>
                <c:pt idx="0">
                  <c:v>0.15343915343915343</c:v>
                </c:pt>
                <c:pt idx="1">
                  <c:v>0.20040485829959515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6 -9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2012</c:v>
                </c:pt>
                <c:pt idx="1">
                  <c:v>Q3 2012</c:v>
                </c:pt>
              </c:strCache>
            </c:strRef>
          </c:cat>
          <c:val>
            <c:numRef>
              <c:f>Sheet1!$D$2:$D$3</c:f>
              <c:numCache>
                <c:formatCode>0.0%</c:formatCode>
                <c:ptCount val="2"/>
                <c:pt idx="0">
                  <c:v>0.17989417989417988</c:v>
                </c:pt>
                <c:pt idx="1">
                  <c:v>0.20850202429149797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3-6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2012</c:v>
                </c:pt>
                <c:pt idx="1">
                  <c:v>Q3 2012</c:v>
                </c:pt>
              </c:strCache>
            </c:strRef>
          </c:cat>
          <c:val>
            <c:numRef>
              <c:f>Sheet1!$E$2:$E$3</c:f>
              <c:numCache>
                <c:formatCode>0.0%</c:formatCode>
                <c:ptCount val="2"/>
                <c:pt idx="0">
                  <c:v>0.23809523809523808</c:v>
                </c:pt>
                <c:pt idx="1">
                  <c:v>0.16801619433198381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Less than 3 months backlog</c:v>
                </c:pt>
              </c:strCache>
            </c:strRef>
          </c:tx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Q2 2012</c:v>
                </c:pt>
                <c:pt idx="1">
                  <c:v>Q3 2012</c:v>
                </c:pt>
              </c:strCache>
            </c:strRef>
          </c:cat>
          <c:val>
            <c:numRef>
              <c:f>Sheet1!$F$2:$F$3</c:f>
              <c:numCache>
                <c:formatCode>0.0%</c:formatCode>
                <c:ptCount val="2"/>
                <c:pt idx="0">
                  <c:v>0.19576719576719576</c:v>
                </c:pt>
                <c:pt idx="1">
                  <c:v>0.20445344129554655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52750208"/>
        <c:axId val="352919936"/>
      </c:barChart>
      <c:catAx>
        <c:axId val="352750208"/>
        <c:scaling>
          <c:orientation val="minMax"/>
        </c:scaling>
        <c:delete val="0"/>
        <c:axPos val="b"/>
        <c:numFmt formatCode="mmm\-yy" sourceLinked="0"/>
        <c:majorTickMark val="none"/>
        <c:minorTickMark val="none"/>
        <c:tickLblPos val="nextTo"/>
        <c:crossAx val="352919936"/>
        <c:crosses val="autoZero"/>
        <c:auto val="1"/>
        <c:lblAlgn val="ctr"/>
        <c:lblOffset val="100"/>
        <c:noMultiLvlLbl val="1"/>
      </c:catAx>
      <c:valAx>
        <c:axId val="352919936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one"/>
        <c:crossAx val="35275020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1608658852496865E-2"/>
          <c:y val="2.3758914952384868E-2"/>
          <c:w val="0.81246539622286618"/>
          <c:h val="0.1372703412073492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0.02611</cdr:x>
      <cdr:y>0.89715</cdr:y>
    </cdr:from>
    <cdr:to>
      <cdr:x>0.91745</cdr:x>
      <cdr:y>0.95884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23824" y="2505075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7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8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9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0.18321</cdr:x>
      <cdr:y>0.92574</cdr:y>
    </cdr:from>
    <cdr:to>
      <cdr:x>0.85344</cdr:x>
      <cdr:y>0.9703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143000" y="35623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0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1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2.xml><?xml version="1.0" encoding="utf-8"?>
<c:userShapes xmlns:c="http://schemas.openxmlformats.org/drawingml/2006/chart">
  <cdr:relSizeAnchor xmlns:cdr="http://schemas.openxmlformats.org/drawingml/2006/chartDrawing">
    <cdr:from>
      <cdr:x>0.43338</cdr:x>
      <cdr:y>0.04361</cdr:y>
    </cdr:from>
    <cdr:to>
      <cdr:x>0.58204</cdr:x>
      <cdr:y>0.10799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624485" y="147923"/>
          <a:ext cx="900254" cy="2183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Northeast</a:t>
          </a:r>
        </a:p>
      </cdr:txBody>
    </cdr:sp>
  </cdr:relSizeAnchor>
  <cdr:relSizeAnchor xmlns:cdr="http://schemas.openxmlformats.org/drawingml/2006/chartDrawing">
    <cdr:from>
      <cdr:x>0.13738</cdr:x>
      <cdr:y>0.89822</cdr:y>
    </cdr:from>
    <cdr:to>
      <cdr:x>0.8383</cdr:x>
      <cdr:y>0.96238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818007" y="3046571"/>
          <a:ext cx="4173688" cy="2176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3.xml><?xml version="1.0" encoding="utf-8"?>
<c:userShapes xmlns:c="http://schemas.openxmlformats.org/drawingml/2006/chart">
  <cdr:relSizeAnchor xmlns:cdr="http://schemas.openxmlformats.org/drawingml/2006/chartDrawing">
    <cdr:from>
      <cdr:x>0.44216</cdr:x>
      <cdr:y>0.04745</cdr:y>
    </cdr:from>
    <cdr:to>
      <cdr:x>0.59082</cdr:x>
      <cdr:y>0.11183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676149" y="158427"/>
          <a:ext cx="899757" cy="2149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South</a:t>
          </a:r>
        </a:p>
      </cdr:txBody>
    </cdr:sp>
  </cdr:relSizeAnchor>
  <cdr:relSizeAnchor xmlns:cdr="http://schemas.openxmlformats.org/drawingml/2006/chartDrawing">
    <cdr:from>
      <cdr:x>0.1338</cdr:x>
      <cdr:y>0.90449</cdr:y>
    </cdr:from>
    <cdr:to>
      <cdr:x>0.83473</cdr:x>
      <cdr:y>0.96865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810290" y="3067836"/>
          <a:ext cx="4244654" cy="2176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4.xml><?xml version="1.0" encoding="utf-8"?>
<c:userShapes xmlns:c="http://schemas.openxmlformats.org/drawingml/2006/chart">
  <cdr:relSizeAnchor xmlns:cdr="http://schemas.openxmlformats.org/drawingml/2006/chartDrawing">
    <cdr:from>
      <cdr:x>0.37318</cdr:x>
      <cdr:y>0.06128</cdr:y>
    </cdr:from>
    <cdr:to>
      <cdr:x>0.61821</cdr:x>
      <cdr:y>0.13141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57490" y="206308"/>
          <a:ext cx="1482253" cy="2361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Middle States</a:t>
          </a:r>
        </a:p>
      </cdr:txBody>
    </cdr:sp>
  </cdr:relSizeAnchor>
  <cdr:relSizeAnchor xmlns:cdr="http://schemas.openxmlformats.org/drawingml/2006/chartDrawing">
    <cdr:from>
      <cdr:x>0.16304</cdr:x>
      <cdr:y>0.90852</cdr:y>
    </cdr:from>
    <cdr:to>
      <cdr:x>0.82077</cdr:x>
      <cdr:y>0.96629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969778" y="3062177"/>
          <a:ext cx="3912187" cy="1947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5.xml><?xml version="1.0" encoding="utf-8"?>
<c:userShapes xmlns:c="http://schemas.openxmlformats.org/drawingml/2006/chart">
  <cdr:relSizeAnchor xmlns:cdr="http://schemas.openxmlformats.org/drawingml/2006/chartDrawing">
    <cdr:from>
      <cdr:x>0.37318</cdr:x>
      <cdr:y>0.06128</cdr:y>
    </cdr:from>
    <cdr:to>
      <cdr:x>0.61821</cdr:x>
      <cdr:y>0.13141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57490" y="206308"/>
          <a:ext cx="1482253" cy="2361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West</a:t>
          </a:r>
        </a:p>
      </cdr:txBody>
    </cdr:sp>
  </cdr:relSizeAnchor>
  <cdr:relSizeAnchor xmlns:cdr="http://schemas.openxmlformats.org/drawingml/2006/chartDrawing">
    <cdr:from>
      <cdr:x>0.16304</cdr:x>
      <cdr:y>0.90852</cdr:y>
    </cdr:from>
    <cdr:to>
      <cdr:x>0.82077</cdr:x>
      <cdr:y>0.96629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969778" y="3062177"/>
          <a:ext cx="3912187" cy="1947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6.xml><?xml version="1.0" encoding="utf-8"?>
<c:userShapes xmlns:c="http://schemas.openxmlformats.org/drawingml/2006/chart">
  <cdr:relSizeAnchor xmlns:cdr="http://schemas.openxmlformats.org/drawingml/2006/chartDrawing">
    <cdr:from>
      <cdr:x>0.07603</cdr:x>
      <cdr:y>0.86617</cdr:y>
    </cdr:from>
    <cdr:to>
      <cdr:x>0.84351</cdr:x>
      <cdr:y>0.93309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414234" y="2219322"/>
          <a:ext cx="4181461" cy="1714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7.xml><?xml version="1.0" encoding="utf-8"?>
<c:userShapes xmlns:c="http://schemas.openxmlformats.org/drawingml/2006/chart">
  <cdr:relSizeAnchor xmlns:cdr="http://schemas.openxmlformats.org/drawingml/2006/chartDrawing">
    <cdr:from>
      <cdr:x>0.38375</cdr:x>
      <cdr:y>0.01792</cdr:y>
    </cdr:from>
    <cdr:to>
      <cdr:x>0.59802</cdr:x>
      <cdr:y>0.08183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86000" y="47625"/>
          <a:ext cx="1276350" cy="1698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Heavy Industrial</a:t>
          </a:r>
        </a:p>
      </cdr:txBody>
    </cdr:sp>
  </cdr:relSizeAnchor>
  <cdr:relSizeAnchor xmlns:cdr="http://schemas.openxmlformats.org/drawingml/2006/chartDrawing">
    <cdr:from>
      <cdr:x>0.07696</cdr:x>
      <cdr:y>0.86859</cdr:y>
    </cdr:from>
    <cdr:to>
      <cdr:x>0.84444</cdr:x>
      <cdr:y>0.93551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419323" y="2225526"/>
          <a:ext cx="4181461" cy="1714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8.xml><?xml version="1.0" encoding="utf-8"?>
<c:userShapes xmlns:c="http://schemas.openxmlformats.org/drawingml/2006/chart">
  <cdr:relSizeAnchor xmlns:cdr="http://schemas.openxmlformats.org/drawingml/2006/chartDrawing">
    <cdr:from>
      <cdr:x>0.06607</cdr:x>
      <cdr:y>0.86902</cdr:y>
    </cdr:from>
    <cdr:to>
      <cdr:x>0.83355</cdr:x>
      <cdr:y>0.93594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359973" y="2226626"/>
          <a:ext cx="4181461" cy="1714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9.xml><?xml version="1.0" encoding="utf-8"?>
<c:userShapes xmlns:c="http://schemas.openxmlformats.org/drawingml/2006/chart">
  <cdr:relSizeAnchor xmlns:cdr="http://schemas.openxmlformats.org/drawingml/2006/chartDrawing">
    <cdr:from>
      <cdr:x>0.06728</cdr:x>
      <cdr:y>0.8874</cdr:y>
    </cdr:from>
    <cdr:to>
      <cdr:x>0.83476</cdr:x>
      <cdr:y>0.96737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399030" y="3245753"/>
          <a:ext cx="4551872" cy="2924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0.xml><?xml version="1.0" encoding="utf-8"?>
<c:userShapes xmlns:c="http://schemas.openxmlformats.org/drawingml/2006/chart">
  <cdr:relSizeAnchor xmlns:cdr="http://schemas.openxmlformats.org/drawingml/2006/chartDrawing">
    <cdr:from>
      <cdr:x>0.34134</cdr:x>
      <cdr:y>0.05159</cdr:y>
    </cdr:from>
    <cdr:to>
      <cdr:x>0.68057</cdr:x>
      <cdr:y>0.15234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28809" y="144041"/>
          <a:ext cx="2016247" cy="2812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="1">
              <a:latin typeface="Times New Roman" pitchFamily="18" charset="0"/>
              <a:cs typeface="Times New Roman" pitchFamily="18" charset="0"/>
            </a:rPr>
            <a:t>Revenue</a:t>
          </a:r>
          <a:r>
            <a:rPr lang="en-US" sz="1100" b="1" baseline="0">
              <a:latin typeface="Times New Roman" pitchFamily="18" charset="0"/>
              <a:cs typeface="Times New Roman" pitchFamily="18" charset="0"/>
            </a:rPr>
            <a:t> $30-50 million</a:t>
          </a:r>
          <a:endParaRPr lang="en-US" sz="11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0.06117</cdr:x>
      <cdr:y>0.90677</cdr:y>
    </cdr:from>
    <cdr:to>
      <cdr:x>0.71023</cdr:x>
      <cdr:y>0.97294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364119" y="3424301"/>
          <a:ext cx="3863587" cy="2498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1.xml><?xml version="1.0" encoding="utf-8"?>
<c:userShapes xmlns:c="http://schemas.openxmlformats.org/drawingml/2006/chart">
  <cdr:relSizeAnchor xmlns:cdr="http://schemas.openxmlformats.org/drawingml/2006/chartDrawing">
    <cdr:from>
      <cdr:x>0.06135</cdr:x>
      <cdr:y>0.90131</cdr:y>
    </cdr:from>
    <cdr:to>
      <cdr:x>0.72872</cdr:x>
      <cdr:y>0.95708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365941" y="3401944"/>
          <a:ext cx="3980565" cy="2105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2.xml><?xml version="1.0" encoding="utf-8"?>
<c:userShapes xmlns:c="http://schemas.openxmlformats.org/drawingml/2006/chart">
  <cdr:relSizeAnchor xmlns:cdr="http://schemas.openxmlformats.org/drawingml/2006/chartDrawing">
    <cdr:from>
      <cdr:x>0.31218</cdr:x>
      <cdr:y>0.06754</cdr:y>
    </cdr:from>
    <cdr:to>
      <cdr:x>0.70747</cdr:x>
      <cdr:y>0.1242</cdr:y>
    </cdr:to>
    <cdr:sp macro="" textlink="">
      <cdr:nvSpPr>
        <cdr:cNvPr id="10" name="TextBox 1"/>
        <cdr:cNvSpPr txBox="1"/>
      </cdr:nvSpPr>
      <cdr:spPr>
        <a:xfrm xmlns:a="http://schemas.openxmlformats.org/drawingml/2006/main">
          <a:off x="1849539" y="225488"/>
          <a:ext cx="2341903" cy="1891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en-US" sz="1050" b="1">
              <a:latin typeface="Times New Roman" pitchFamily="18" charset="0"/>
              <a:cs typeface="Times New Roman" pitchFamily="18" charset="0"/>
            </a:rPr>
            <a:t>Revenue</a:t>
          </a:r>
          <a:r>
            <a:rPr lang="en-US" sz="1050" b="1" baseline="0">
              <a:latin typeface="Times New Roman" pitchFamily="18" charset="0"/>
              <a:cs typeface="Times New Roman" pitchFamily="18" charset="0"/>
            </a:rPr>
            <a:t> greater than $100 million</a:t>
          </a:r>
          <a:endParaRPr lang="en-US" sz="105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0.08723</cdr:x>
      <cdr:y>0.88217</cdr:y>
    </cdr:from>
    <cdr:to>
      <cdr:x>0.80402</cdr:x>
      <cdr:y>0.94896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516803" y="2945219"/>
          <a:ext cx="4246645" cy="2230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0.17557</cdr:x>
      <cdr:y>0.91584</cdr:y>
    </cdr:from>
    <cdr:to>
      <cdr:x>0.8458</cdr:x>
      <cdr:y>0.9604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095375" y="3524250"/>
          <a:ext cx="4181475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©Associated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Builders and Contractors, Construction Backlog Indicator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AFD64-F7DA-4054-A021-1B76DB0C5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Sage Policy</dc:creator>
  <cp:lastModifiedBy>Donna Reichle</cp:lastModifiedBy>
  <cp:revision>2</cp:revision>
  <cp:lastPrinted>2009-07-14T14:22:00Z</cp:lastPrinted>
  <dcterms:created xsi:type="dcterms:W3CDTF">2018-03-14T16:15:00Z</dcterms:created>
  <dcterms:modified xsi:type="dcterms:W3CDTF">2018-03-14T16:15:00Z</dcterms:modified>
</cp:coreProperties>
</file>